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B9DF" w14:textId="77777777" w:rsidR="00974182" w:rsidRPr="00663B53" w:rsidRDefault="00974182" w:rsidP="00974182">
      <w:pPr>
        <w:spacing w:before="240" w:after="0" w:line="240" w:lineRule="auto"/>
        <w:jc w:val="center"/>
        <w:rPr>
          <w:rFonts w:ascii="Calibri" w:eastAsia="Times New Roman" w:hAnsi="Calibri" w:cs="Calibri"/>
          <w:b/>
          <w:bCs/>
          <w:color w:val="1F3864" w:themeColor="accent1" w:themeShade="80"/>
          <w:sz w:val="34"/>
          <w:szCs w:val="34"/>
          <w:lang w:bidi="he-IL"/>
        </w:rPr>
      </w:pPr>
      <w:r w:rsidRPr="00663B53">
        <w:rPr>
          <w:rFonts w:ascii="Calibri" w:eastAsia="Times New Roman" w:hAnsi="Calibri" w:cs="Calibri"/>
          <w:b/>
          <w:bCs/>
          <w:color w:val="1F3864" w:themeColor="accent1" w:themeShade="80"/>
          <w:sz w:val="34"/>
          <w:szCs w:val="34"/>
          <w:lang w:bidi="he-IL"/>
        </w:rPr>
        <w:t>Water Management Assistance Program Fund</w:t>
      </w:r>
    </w:p>
    <w:p w14:paraId="335856EF" w14:textId="600D033E" w:rsidR="00974182" w:rsidRPr="002248F4" w:rsidRDefault="00974182" w:rsidP="00974182">
      <w:pPr>
        <w:spacing w:after="0" w:line="240" w:lineRule="auto"/>
        <w:jc w:val="center"/>
        <w:rPr>
          <w:b/>
          <w:bCs/>
          <w:sz w:val="26"/>
          <w:szCs w:val="26"/>
        </w:rPr>
      </w:pPr>
      <w:r w:rsidRPr="002248F4">
        <w:rPr>
          <w:b/>
          <w:bCs/>
          <w:sz w:val="26"/>
          <w:szCs w:val="26"/>
        </w:rPr>
        <w:t>Current Balance: $</w:t>
      </w:r>
      <w:r w:rsidR="00136AB4">
        <w:rPr>
          <w:b/>
          <w:bCs/>
          <w:sz w:val="26"/>
          <w:szCs w:val="26"/>
        </w:rPr>
        <w:t>212,259</w:t>
      </w:r>
    </w:p>
    <w:p w14:paraId="5F0BEE22" w14:textId="3087582D" w:rsidR="00974182" w:rsidRPr="00277DD9" w:rsidRDefault="00974182" w:rsidP="00974182">
      <w:pPr>
        <w:spacing w:after="0" w:line="240" w:lineRule="auto"/>
        <w:jc w:val="center"/>
        <w:rPr>
          <w:sz w:val="26"/>
          <w:szCs w:val="26"/>
        </w:rPr>
      </w:pPr>
      <w:r>
        <w:rPr>
          <w:sz w:val="26"/>
          <w:szCs w:val="26"/>
        </w:rPr>
        <w:t>Encumbered/committed</w:t>
      </w:r>
      <w:r w:rsidRPr="00277DD9">
        <w:rPr>
          <w:sz w:val="26"/>
          <w:szCs w:val="26"/>
        </w:rPr>
        <w:t>:  $</w:t>
      </w:r>
      <w:r w:rsidR="00136AB4">
        <w:rPr>
          <w:sz w:val="26"/>
          <w:szCs w:val="26"/>
        </w:rPr>
        <w:t>75,000</w:t>
      </w:r>
    </w:p>
    <w:p w14:paraId="67BB69FD" w14:textId="188A208E" w:rsidR="00974182" w:rsidRDefault="00974182" w:rsidP="00974182">
      <w:pPr>
        <w:spacing w:after="0" w:line="240" w:lineRule="auto"/>
        <w:jc w:val="center"/>
        <w:rPr>
          <w:b/>
          <w:sz w:val="26"/>
          <w:szCs w:val="26"/>
        </w:rPr>
      </w:pPr>
      <w:r>
        <w:rPr>
          <w:b/>
          <w:sz w:val="26"/>
          <w:szCs w:val="26"/>
        </w:rPr>
        <w:t>R</w:t>
      </w:r>
      <w:r w:rsidRPr="00277DD9">
        <w:rPr>
          <w:b/>
          <w:sz w:val="26"/>
          <w:szCs w:val="26"/>
        </w:rPr>
        <w:t>emaining Balance:  $</w:t>
      </w:r>
      <w:r w:rsidR="00136AB4">
        <w:rPr>
          <w:b/>
          <w:sz w:val="26"/>
          <w:szCs w:val="26"/>
        </w:rPr>
        <w:t>137,259</w:t>
      </w:r>
      <w:r w:rsidR="001E2146">
        <w:rPr>
          <w:b/>
          <w:sz w:val="26"/>
          <w:szCs w:val="26"/>
        </w:rPr>
        <w:t xml:space="preserve"> </w:t>
      </w:r>
      <w:bookmarkStart w:id="0" w:name="_Hlk113965373"/>
      <w:r w:rsidR="001E2146">
        <w:rPr>
          <w:b/>
          <w:sz w:val="26"/>
          <w:szCs w:val="26"/>
        </w:rPr>
        <w:t>($</w:t>
      </w:r>
      <w:r w:rsidR="00136AB4">
        <w:rPr>
          <w:b/>
          <w:sz w:val="26"/>
          <w:szCs w:val="26"/>
        </w:rPr>
        <w:t>3</w:t>
      </w:r>
      <w:r w:rsidR="001E2146">
        <w:rPr>
          <w:b/>
          <w:sz w:val="26"/>
          <w:szCs w:val="26"/>
        </w:rPr>
        <w:t>0,000</w:t>
      </w:r>
      <w:r w:rsidR="00C159A9">
        <w:rPr>
          <w:b/>
          <w:sz w:val="26"/>
          <w:szCs w:val="26"/>
        </w:rPr>
        <w:t xml:space="preserve"> less</w:t>
      </w:r>
      <w:r w:rsidR="001E2146">
        <w:rPr>
          <w:b/>
          <w:sz w:val="26"/>
          <w:szCs w:val="26"/>
        </w:rPr>
        <w:t xml:space="preserve"> if </w:t>
      </w:r>
      <w:r w:rsidR="00136AB4">
        <w:rPr>
          <w:b/>
          <w:sz w:val="26"/>
          <w:szCs w:val="26"/>
        </w:rPr>
        <w:t>NREC</w:t>
      </w:r>
      <w:r w:rsidR="001E2146">
        <w:rPr>
          <w:b/>
          <w:sz w:val="26"/>
          <w:szCs w:val="26"/>
        </w:rPr>
        <w:t xml:space="preserve"> is renewed, leaving $1</w:t>
      </w:r>
      <w:bookmarkEnd w:id="0"/>
      <w:r w:rsidR="00136AB4">
        <w:rPr>
          <w:b/>
          <w:sz w:val="26"/>
          <w:szCs w:val="26"/>
        </w:rPr>
        <w:t>07,259</w:t>
      </w:r>
      <w:r w:rsidR="001E2146">
        <w:rPr>
          <w:b/>
          <w:sz w:val="26"/>
          <w:szCs w:val="26"/>
        </w:rPr>
        <w:t>)</w:t>
      </w:r>
    </w:p>
    <w:p w14:paraId="1BDDEE5F" w14:textId="77777777" w:rsidR="00974182" w:rsidRDefault="00974182" w:rsidP="00974182">
      <w:pPr>
        <w:spacing w:after="0" w:line="240" w:lineRule="auto"/>
        <w:jc w:val="center"/>
        <w:rPr>
          <w:b/>
          <w:sz w:val="26"/>
          <w:szCs w:val="26"/>
        </w:rPr>
      </w:pPr>
    </w:p>
    <w:p w14:paraId="2C0E75B9" w14:textId="494814AF" w:rsidR="00974182" w:rsidRDefault="00974182" w:rsidP="00974182">
      <w:pPr>
        <w:spacing w:after="0" w:line="240" w:lineRule="auto"/>
        <w:jc w:val="center"/>
        <w:rPr>
          <w:b/>
          <w:sz w:val="26"/>
          <w:szCs w:val="26"/>
        </w:rPr>
      </w:pPr>
      <w:r w:rsidRPr="00322DC1">
        <w:rPr>
          <w:b/>
          <w:color w:val="002060"/>
          <w:sz w:val="34"/>
          <w:szCs w:val="34"/>
        </w:rPr>
        <w:t>Water Management Assistance Program</w:t>
      </w:r>
      <w:r>
        <w:rPr>
          <w:b/>
          <w:color w:val="002060"/>
          <w:sz w:val="34"/>
          <w:szCs w:val="34"/>
        </w:rPr>
        <w:t xml:space="preserve"> Project</w:t>
      </w:r>
      <w:r w:rsidR="009B2338">
        <w:rPr>
          <w:b/>
          <w:color w:val="002060"/>
          <w:sz w:val="34"/>
          <w:szCs w:val="34"/>
        </w:rPr>
        <w:t xml:space="preserve"> </w:t>
      </w:r>
    </w:p>
    <w:tbl>
      <w:tblPr>
        <w:tblpPr w:leftFromText="180" w:rightFromText="180" w:vertAnchor="page" w:horzAnchor="margin" w:tblpXSpec="center" w:tblpY="3442"/>
        <w:tblW w:w="11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156"/>
        <w:gridCol w:w="4402"/>
        <w:gridCol w:w="1200"/>
        <w:gridCol w:w="1119"/>
        <w:gridCol w:w="1280"/>
        <w:gridCol w:w="1280"/>
      </w:tblGrid>
      <w:tr w:rsidR="00136AB4" w:rsidRPr="008E3CAA" w14:paraId="6D2DEEE9" w14:textId="77777777" w:rsidTr="00136AB4">
        <w:trPr>
          <w:trHeight w:val="23"/>
        </w:trPr>
        <w:tc>
          <w:tcPr>
            <w:tcW w:w="2156" w:type="dxa"/>
            <w:shd w:val="clear" w:color="auto" w:fill="D9E2F3" w:themeFill="accent1" w:themeFillTint="33"/>
            <w:vAlign w:val="center"/>
          </w:tcPr>
          <w:p w14:paraId="5E3524A1"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 xml:space="preserve">PROJECT </w:t>
            </w:r>
          </w:p>
          <w:p w14:paraId="37CB0E8E"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NAME</w:t>
            </w:r>
          </w:p>
        </w:tc>
        <w:tc>
          <w:tcPr>
            <w:tcW w:w="4402" w:type="dxa"/>
            <w:shd w:val="clear" w:color="auto" w:fill="D9E2F3" w:themeFill="accent1" w:themeFillTint="33"/>
            <w:vAlign w:val="center"/>
          </w:tcPr>
          <w:p w14:paraId="03FA1DCE"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DESCRIPTION</w:t>
            </w:r>
          </w:p>
        </w:tc>
        <w:tc>
          <w:tcPr>
            <w:tcW w:w="1200" w:type="dxa"/>
            <w:shd w:val="clear" w:color="auto" w:fill="D9E2F3" w:themeFill="accent1" w:themeFillTint="33"/>
            <w:vAlign w:val="center"/>
          </w:tcPr>
          <w:p w14:paraId="2D560E80"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CONTRACT NUMBER</w:t>
            </w:r>
          </w:p>
        </w:tc>
        <w:tc>
          <w:tcPr>
            <w:tcW w:w="1119" w:type="dxa"/>
            <w:shd w:val="clear" w:color="auto" w:fill="D9E2F3" w:themeFill="accent1" w:themeFillTint="33"/>
            <w:vAlign w:val="center"/>
          </w:tcPr>
          <w:p w14:paraId="597713D9" w14:textId="77777777" w:rsidR="00136AB4" w:rsidRPr="008E3CAA" w:rsidRDefault="00136AB4" w:rsidP="00136AB4">
            <w:pPr>
              <w:spacing w:after="0" w:line="240" w:lineRule="auto"/>
              <w:jc w:val="center"/>
              <w:rPr>
                <w:rFonts w:ascii="Calibri" w:eastAsia="Times New Roman" w:hAnsi="Calibri" w:cs="Calibri"/>
                <w:b/>
                <w:bCs/>
                <w:szCs w:val="24"/>
                <w:lang w:bidi="he-IL"/>
              </w:rPr>
            </w:pPr>
            <w:r>
              <w:rPr>
                <w:rFonts w:ascii="Calibri" w:eastAsia="Times New Roman" w:hAnsi="Calibri" w:cs="Calibri"/>
                <w:b/>
                <w:bCs/>
                <w:szCs w:val="24"/>
                <w:lang w:bidi="he-IL"/>
              </w:rPr>
              <w:t>TOTAL FUNDING</w:t>
            </w:r>
          </w:p>
        </w:tc>
        <w:tc>
          <w:tcPr>
            <w:tcW w:w="1280" w:type="dxa"/>
            <w:shd w:val="clear" w:color="auto" w:fill="D9E2F3" w:themeFill="accent1" w:themeFillTint="33"/>
          </w:tcPr>
          <w:p w14:paraId="48415362" w14:textId="77777777" w:rsidR="00136AB4" w:rsidRPr="008E3CAA" w:rsidRDefault="00136AB4" w:rsidP="00136AB4">
            <w:pPr>
              <w:spacing w:after="0" w:line="240" w:lineRule="auto"/>
              <w:jc w:val="center"/>
              <w:rPr>
                <w:rFonts w:ascii="Calibri" w:eastAsia="Times New Roman" w:hAnsi="Calibri" w:cs="Calibri"/>
                <w:b/>
                <w:bCs/>
                <w:szCs w:val="24"/>
                <w:lang w:bidi="he-IL"/>
              </w:rPr>
            </w:pPr>
            <w:r>
              <w:rPr>
                <w:rFonts w:ascii="Calibri" w:eastAsia="Times New Roman" w:hAnsi="Calibri" w:cs="Calibri"/>
                <w:b/>
                <w:bCs/>
                <w:szCs w:val="24"/>
                <w:lang w:bidi="he-IL"/>
              </w:rPr>
              <w:t>REMAINING FUNDING</w:t>
            </w:r>
          </w:p>
        </w:tc>
        <w:tc>
          <w:tcPr>
            <w:tcW w:w="1280" w:type="dxa"/>
            <w:shd w:val="clear" w:color="auto" w:fill="D9E2F3" w:themeFill="accent1" w:themeFillTint="33"/>
            <w:vAlign w:val="center"/>
          </w:tcPr>
          <w:p w14:paraId="0D28B17E"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CONTRACT ENDS</w:t>
            </w:r>
          </w:p>
        </w:tc>
      </w:tr>
      <w:tr w:rsidR="00136AB4" w:rsidRPr="008E3CAA" w14:paraId="1B8E3168" w14:textId="77777777" w:rsidTr="00136AB4">
        <w:trPr>
          <w:trHeight w:val="933"/>
        </w:trPr>
        <w:tc>
          <w:tcPr>
            <w:tcW w:w="2156" w:type="dxa"/>
            <w:shd w:val="clear" w:color="auto" w:fill="auto"/>
            <w:vAlign w:val="center"/>
            <w:hideMark/>
          </w:tcPr>
          <w:p w14:paraId="16334D12" w14:textId="77777777" w:rsidR="00136AB4" w:rsidRPr="008E3CAA" w:rsidRDefault="00136AB4" w:rsidP="00136AB4">
            <w:pPr>
              <w:spacing w:after="0" w:line="240" w:lineRule="auto"/>
              <w:rPr>
                <w:rFonts w:ascii="Calibri" w:eastAsia="Times New Roman" w:hAnsi="Calibri" w:cs="Calibri"/>
                <w:szCs w:val="24"/>
                <w:lang w:bidi="he-IL"/>
              </w:rPr>
            </w:pPr>
            <w:r w:rsidRPr="008E3CAA">
              <w:rPr>
                <w:rFonts w:ascii="Calibri" w:eastAsia="Times New Roman" w:hAnsi="Calibri" w:cs="Calibri"/>
                <w:szCs w:val="24"/>
                <w:lang w:bidi="he-IL"/>
              </w:rPr>
              <w:t xml:space="preserve">Irrigation Management Service (IMS) </w:t>
            </w:r>
          </w:p>
        </w:tc>
        <w:tc>
          <w:tcPr>
            <w:tcW w:w="4402" w:type="dxa"/>
            <w:vAlign w:val="center"/>
          </w:tcPr>
          <w:p w14:paraId="492058B8" w14:textId="77777777" w:rsidR="00136AB4" w:rsidRPr="008E3CAA" w:rsidRDefault="00136AB4" w:rsidP="00136AB4">
            <w:pPr>
              <w:spacing w:after="0" w:line="240" w:lineRule="auto"/>
              <w:rPr>
                <w:rFonts w:ascii="Calibri" w:eastAsia="Times New Roman" w:hAnsi="Calibri" w:cs="Calibri"/>
                <w:sz w:val="20"/>
                <w:lang w:bidi="he-IL"/>
              </w:rPr>
            </w:pPr>
            <w:r w:rsidRPr="008E3CAA">
              <w:rPr>
                <w:rFonts w:ascii="Calibri" w:eastAsia="Times New Roman" w:hAnsi="Calibri" w:cs="Calibri"/>
                <w:sz w:val="20"/>
                <w:lang w:bidi="he-IL"/>
              </w:rPr>
              <w:t xml:space="preserve">Provide on-site irrigation technical </w:t>
            </w:r>
            <w:r>
              <w:rPr>
                <w:rFonts w:ascii="Calibri" w:eastAsia="Times New Roman" w:hAnsi="Calibri" w:cs="Calibri"/>
                <w:sz w:val="20"/>
                <w:lang w:bidi="he-IL"/>
              </w:rPr>
              <w:t xml:space="preserve">assistance, </w:t>
            </w:r>
            <w:r w:rsidRPr="008E3CAA">
              <w:rPr>
                <w:rFonts w:ascii="Calibri" w:eastAsia="Times New Roman" w:hAnsi="Calibri" w:cs="Calibri"/>
                <w:sz w:val="20"/>
                <w:lang w:bidi="he-IL"/>
              </w:rPr>
              <w:t xml:space="preserve">education </w:t>
            </w:r>
            <w:r>
              <w:rPr>
                <w:rFonts w:ascii="Calibri" w:eastAsia="Times New Roman" w:hAnsi="Calibri" w:cs="Calibri"/>
                <w:sz w:val="20"/>
                <w:lang w:bidi="he-IL"/>
              </w:rPr>
              <w:t>&amp;</w:t>
            </w:r>
            <w:r w:rsidRPr="008E3CAA">
              <w:rPr>
                <w:rFonts w:ascii="Calibri" w:eastAsia="Times New Roman" w:hAnsi="Calibri" w:cs="Calibri"/>
                <w:sz w:val="20"/>
                <w:lang w:bidi="he-IL"/>
              </w:rPr>
              <w:t xml:space="preserve"> outreach to </w:t>
            </w:r>
            <w:r>
              <w:rPr>
                <w:rFonts w:ascii="Calibri" w:eastAsia="Times New Roman" w:hAnsi="Calibri" w:cs="Calibri"/>
                <w:sz w:val="20"/>
                <w:lang w:bidi="he-IL"/>
              </w:rPr>
              <w:t>farmers</w:t>
            </w:r>
            <w:r w:rsidRPr="008E3CAA">
              <w:rPr>
                <w:rFonts w:ascii="Calibri" w:eastAsia="Times New Roman" w:hAnsi="Calibri" w:cs="Calibri"/>
                <w:sz w:val="20"/>
                <w:lang w:bidi="he-IL"/>
              </w:rPr>
              <w:t xml:space="preserve"> in the Pinal AMA to increase irrigation efficiencies </w:t>
            </w:r>
            <w:r>
              <w:rPr>
                <w:rFonts w:ascii="Calibri" w:eastAsia="Times New Roman" w:hAnsi="Calibri" w:cs="Calibri"/>
                <w:sz w:val="20"/>
                <w:lang w:bidi="he-IL"/>
              </w:rPr>
              <w:t>&amp;</w:t>
            </w:r>
            <w:r w:rsidRPr="008E3CAA">
              <w:rPr>
                <w:rFonts w:ascii="Calibri" w:eastAsia="Times New Roman" w:hAnsi="Calibri" w:cs="Calibri"/>
                <w:sz w:val="20"/>
                <w:lang w:bidi="he-IL"/>
              </w:rPr>
              <w:t xml:space="preserve"> promote water conservation.</w:t>
            </w:r>
          </w:p>
        </w:tc>
        <w:tc>
          <w:tcPr>
            <w:tcW w:w="1200" w:type="dxa"/>
            <w:vAlign w:val="center"/>
          </w:tcPr>
          <w:p w14:paraId="78F878FC" w14:textId="32AEC03E" w:rsidR="00136AB4" w:rsidRPr="008E3CAA" w:rsidRDefault="003847FE"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2022-3151</w:t>
            </w:r>
            <w:r w:rsidR="00136AB4">
              <w:rPr>
                <w:rFonts w:ascii="Calibri" w:eastAsia="Times New Roman" w:hAnsi="Calibri" w:cs="Calibri"/>
                <w:szCs w:val="24"/>
                <w:lang w:bidi="he-IL"/>
              </w:rPr>
              <w:t xml:space="preserve"> IGA</w:t>
            </w:r>
          </w:p>
        </w:tc>
        <w:tc>
          <w:tcPr>
            <w:tcW w:w="1119" w:type="dxa"/>
            <w:shd w:val="clear" w:color="auto" w:fill="auto"/>
            <w:vAlign w:val="center"/>
            <w:hideMark/>
          </w:tcPr>
          <w:p w14:paraId="6F465C32" w14:textId="77777777" w:rsidR="00136AB4" w:rsidRPr="008E3CAA" w:rsidRDefault="00136AB4" w:rsidP="00136AB4">
            <w:pPr>
              <w:spacing w:after="0" w:line="240" w:lineRule="auto"/>
              <w:jc w:val="center"/>
              <w:rPr>
                <w:rFonts w:ascii="Calibri" w:eastAsia="Times New Roman" w:hAnsi="Calibri" w:cs="Calibri"/>
                <w:szCs w:val="24"/>
                <w:lang w:bidi="he-IL"/>
              </w:rPr>
            </w:pPr>
            <w:r w:rsidRPr="008E3CAA">
              <w:rPr>
                <w:rFonts w:ascii="Calibri" w:eastAsia="Times New Roman" w:hAnsi="Calibri" w:cs="Calibri"/>
                <w:szCs w:val="24"/>
                <w:lang w:bidi="he-IL"/>
              </w:rPr>
              <w:t>$</w:t>
            </w:r>
            <w:r>
              <w:rPr>
                <w:rFonts w:ascii="Calibri" w:eastAsia="Times New Roman" w:hAnsi="Calibri" w:cs="Calibri"/>
                <w:szCs w:val="24"/>
                <w:lang w:bidi="he-IL"/>
              </w:rPr>
              <w:t>120</w:t>
            </w:r>
            <w:r w:rsidRPr="008E3CAA">
              <w:rPr>
                <w:rFonts w:ascii="Calibri" w:eastAsia="Times New Roman" w:hAnsi="Calibri" w:cs="Calibri"/>
                <w:szCs w:val="24"/>
                <w:lang w:bidi="he-IL"/>
              </w:rPr>
              <w:t>,000</w:t>
            </w:r>
          </w:p>
        </w:tc>
        <w:tc>
          <w:tcPr>
            <w:tcW w:w="1280" w:type="dxa"/>
            <w:vAlign w:val="center"/>
          </w:tcPr>
          <w:p w14:paraId="794BE5B8" w14:textId="77777777" w:rsidR="00136AB4" w:rsidRDefault="00136AB4"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$60,000</w:t>
            </w:r>
          </w:p>
        </w:tc>
        <w:tc>
          <w:tcPr>
            <w:tcW w:w="1280" w:type="dxa"/>
            <w:shd w:val="clear" w:color="auto" w:fill="auto"/>
            <w:vAlign w:val="center"/>
            <w:hideMark/>
          </w:tcPr>
          <w:p w14:paraId="6FB8B1E9" w14:textId="77777777" w:rsidR="00136AB4" w:rsidRPr="008E3CAA" w:rsidRDefault="00136AB4"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4</w:t>
            </w:r>
            <w:r w:rsidRPr="008E3CAA">
              <w:rPr>
                <w:rFonts w:ascii="Calibri" w:eastAsia="Times New Roman" w:hAnsi="Calibri" w:cs="Calibri"/>
                <w:szCs w:val="24"/>
                <w:lang w:bidi="he-IL"/>
              </w:rPr>
              <w:t>/</w:t>
            </w:r>
            <w:r>
              <w:rPr>
                <w:rFonts w:ascii="Calibri" w:eastAsia="Times New Roman" w:hAnsi="Calibri" w:cs="Calibri"/>
                <w:szCs w:val="24"/>
                <w:lang w:bidi="he-IL"/>
              </w:rPr>
              <w:t>30</w:t>
            </w:r>
            <w:r w:rsidRPr="008E3CAA">
              <w:rPr>
                <w:rFonts w:ascii="Calibri" w:eastAsia="Times New Roman" w:hAnsi="Calibri" w:cs="Calibri"/>
                <w:szCs w:val="24"/>
                <w:lang w:bidi="he-IL"/>
              </w:rPr>
              <w:t>/20</w:t>
            </w:r>
            <w:r>
              <w:rPr>
                <w:rFonts w:ascii="Calibri" w:eastAsia="Times New Roman" w:hAnsi="Calibri" w:cs="Calibri"/>
                <w:szCs w:val="24"/>
                <w:lang w:bidi="he-IL"/>
              </w:rPr>
              <w:t>23</w:t>
            </w:r>
          </w:p>
        </w:tc>
      </w:tr>
      <w:tr w:rsidR="00136AB4" w:rsidRPr="008E3CAA" w14:paraId="4D5772A4" w14:textId="77777777" w:rsidTr="00136AB4">
        <w:trPr>
          <w:trHeight w:val="951"/>
        </w:trPr>
        <w:tc>
          <w:tcPr>
            <w:tcW w:w="2156" w:type="dxa"/>
            <w:shd w:val="clear" w:color="auto" w:fill="auto"/>
            <w:vAlign w:val="center"/>
            <w:hideMark/>
          </w:tcPr>
          <w:p w14:paraId="390A1CB4" w14:textId="77777777" w:rsidR="00136AB4" w:rsidRPr="008E3CAA" w:rsidRDefault="00136AB4" w:rsidP="00136AB4">
            <w:pPr>
              <w:spacing w:after="0" w:line="240" w:lineRule="auto"/>
              <w:rPr>
                <w:rFonts w:ascii="Calibri" w:eastAsia="Times New Roman" w:hAnsi="Calibri" w:cs="Calibri"/>
                <w:szCs w:val="24"/>
                <w:lang w:bidi="he-IL"/>
              </w:rPr>
            </w:pPr>
            <w:r w:rsidRPr="008E3CAA">
              <w:rPr>
                <w:rFonts w:ascii="Calibri" w:eastAsia="Times New Roman" w:hAnsi="Calibri" w:cs="Calibri"/>
                <w:szCs w:val="24"/>
                <w:lang w:bidi="he-IL"/>
              </w:rPr>
              <w:t>Natural Resources Education Center</w:t>
            </w:r>
            <w:r>
              <w:rPr>
                <w:rFonts w:ascii="Calibri" w:eastAsia="Times New Roman" w:hAnsi="Calibri" w:cs="Calibri"/>
                <w:szCs w:val="24"/>
                <w:lang w:bidi="he-IL"/>
              </w:rPr>
              <w:t xml:space="preserve"> (NREC)</w:t>
            </w:r>
          </w:p>
          <w:p w14:paraId="53FBE887" w14:textId="77777777" w:rsidR="00136AB4" w:rsidRPr="008E3CAA" w:rsidRDefault="00136AB4" w:rsidP="00136AB4">
            <w:pPr>
              <w:spacing w:after="0" w:line="240" w:lineRule="auto"/>
              <w:rPr>
                <w:rFonts w:ascii="Calibri" w:eastAsia="Times New Roman" w:hAnsi="Calibri" w:cs="Calibri"/>
                <w:szCs w:val="24"/>
                <w:lang w:bidi="he-IL"/>
              </w:rPr>
            </w:pPr>
          </w:p>
        </w:tc>
        <w:tc>
          <w:tcPr>
            <w:tcW w:w="4402" w:type="dxa"/>
            <w:vAlign w:val="center"/>
          </w:tcPr>
          <w:p w14:paraId="0214534C" w14:textId="77777777" w:rsidR="00136AB4" w:rsidRPr="008E3CAA" w:rsidRDefault="00136AB4" w:rsidP="00136AB4">
            <w:pPr>
              <w:spacing w:after="0" w:line="240" w:lineRule="auto"/>
              <w:rPr>
                <w:rFonts w:ascii="Calibri" w:eastAsia="Times New Roman" w:hAnsi="Calibri" w:cs="Calibri"/>
                <w:szCs w:val="24"/>
                <w:lang w:bidi="he-IL"/>
              </w:rPr>
            </w:pPr>
            <w:r>
              <w:rPr>
                <w:rFonts w:ascii="Calibri" w:eastAsia="Times New Roman" w:hAnsi="Calibri" w:cs="Calibri"/>
                <w:sz w:val="20"/>
                <w:lang w:bidi="he-IL"/>
              </w:rPr>
              <w:t>Educate</w:t>
            </w:r>
            <w:r w:rsidRPr="008E3CAA">
              <w:rPr>
                <w:rFonts w:ascii="Calibri" w:eastAsia="Times New Roman" w:hAnsi="Calibri" w:cs="Calibri"/>
                <w:sz w:val="20"/>
                <w:lang w:bidi="he-IL"/>
              </w:rPr>
              <w:t xml:space="preserve"> children </w:t>
            </w:r>
            <w:r>
              <w:rPr>
                <w:rFonts w:ascii="Calibri" w:eastAsia="Times New Roman" w:hAnsi="Calibri" w:cs="Calibri"/>
                <w:sz w:val="20"/>
                <w:lang w:bidi="he-IL"/>
              </w:rPr>
              <w:t>&amp;</w:t>
            </w:r>
            <w:r w:rsidRPr="008E3CAA">
              <w:rPr>
                <w:rFonts w:ascii="Calibri" w:eastAsia="Times New Roman" w:hAnsi="Calibri" w:cs="Calibri"/>
                <w:sz w:val="20"/>
                <w:lang w:bidi="he-IL"/>
              </w:rPr>
              <w:t xml:space="preserve"> adults </w:t>
            </w:r>
            <w:r>
              <w:rPr>
                <w:rFonts w:ascii="Calibri" w:eastAsia="Times New Roman" w:hAnsi="Calibri" w:cs="Calibri"/>
                <w:sz w:val="20"/>
                <w:lang w:bidi="he-IL"/>
              </w:rPr>
              <w:t>on</w:t>
            </w:r>
            <w:r w:rsidRPr="008E3CAA">
              <w:rPr>
                <w:rFonts w:ascii="Calibri" w:eastAsia="Times New Roman" w:hAnsi="Calibri" w:cs="Calibri"/>
                <w:sz w:val="20"/>
                <w:lang w:bidi="he-IL"/>
              </w:rPr>
              <w:t xml:space="preserve"> agriculture </w:t>
            </w:r>
            <w:r>
              <w:rPr>
                <w:rFonts w:ascii="Calibri" w:eastAsia="Times New Roman" w:hAnsi="Calibri" w:cs="Calibri"/>
                <w:sz w:val="20"/>
                <w:lang w:bidi="he-IL"/>
              </w:rPr>
              <w:t>&amp;</w:t>
            </w:r>
            <w:r w:rsidRPr="008E3CAA">
              <w:rPr>
                <w:rFonts w:ascii="Calibri" w:eastAsia="Times New Roman" w:hAnsi="Calibri" w:cs="Calibri"/>
                <w:sz w:val="20"/>
                <w:lang w:bidi="he-IL"/>
              </w:rPr>
              <w:t xml:space="preserve"> water conservation in the Pinal </w:t>
            </w:r>
            <w:r>
              <w:rPr>
                <w:rFonts w:ascii="Calibri" w:eastAsia="Times New Roman" w:hAnsi="Calibri" w:cs="Calibri"/>
                <w:sz w:val="20"/>
                <w:lang w:bidi="he-IL"/>
              </w:rPr>
              <w:t>NRCDs</w:t>
            </w:r>
            <w:r w:rsidRPr="008E3CAA">
              <w:rPr>
                <w:rFonts w:ascii="Calibri" w:eastAsia="Times New Roman" w:hAnsi="Calibri" w:cs="Calibri"/>
                <w:sz w:val="20"/>
                <w:lang w:bidi="he-IL"/>
              </w:rPr>
              <w:t xml:space="preserve"> through a variety of hands-on </w:t>
            </w:r>
            <w:r>
              <w:rPr>
                <w:rFonts w:ascii="Calibri" w:eastAsia="Times New Roman" w:hAnsi="Calibri" w:cs="Calibri"/>
                <w:sz w:val="20"/>
                <w:lang w:bidi="he-IL"/>
              </w:rPr>
              <w:t>activities</w:t>
            </w:r>
            <w:r w:rsidRPr="008E3CAA">
              <w:rPr>
                <w:rFonts w:ascii="Calibri" w:eastAsia="Times New Roman" w:hAnsi="Calibri" w:cs="Calibri"/>
                <w:sz w:val="20"/>
                <w:lang w:bidi="he-IL"/>
              </w:rPr>
              <w:t xml:space="preserve"> </w:t>
            </w:r>
            <w:r>
              <w:rPr>
                <w:rFonts w:ascii="Calibri" w:eastAsia="Times New Roman" w:hAnsi="Calibri" w:cs="Calibri"/>
                <w:sz w:val="20"/>
                <w:lang w:bidi="he-IL"/>
              </w:rPr>
              <w:t xml:space="preserve">and </w:t>
            </w:r>
            <w:r w:rsidRPr="008E3CAA">
              <w:rPr>
                <w:rFonts w:ascii="Calibri" w:eastAsia="Times New Roman" w:hAnsi="Calibri" w:cs="Calibri"/>
                <w:sz w:val="20"/>
                <w:lang w:bidi="he-IL"/>
              </w:rPr>
              <w:t>interactive field site</w:t>
            </w:r>
            <w:r>
              <w:rPr>
                <w:rFonts w:ascii="Calibri" w:eastAsia="Times New Roman" w:hAnsi="Calibri" w:cs="Calibri"/>
                <w:sz w:val="20"/>
                <w:lang w:bidi="he-IL"/>
              </w:rPr>
              <w:t>.</w:t>
            </w:r>
          </w:p>
        </w:tc>
        <w:tc>
          <w:tcPr>
            <w:tcW w:w="1200" w:type="dxa"/>
            <w:vAlign w:val="center"/>
          </w:tcPr>
          <w:p w14:paraId="60CC2C53" w14:textId="689CB155" w:rsidR="00136AB4" w:rsidRPr="008E3CAA" w:rsidRDefault="00136AB4"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202</w:t>
            </w:r>
            <w:r w:rsidR="003847FE">
              <w:rPr>
                <w:rFonts w:ascii="Calibri" w:eastAsia="Times New Roman" w:hAnsi="Calibri" w:cs="Calibri"/>
                <w:szCs w:val="24"/>
                <w:lang w:bidi="he-IL"/>
              </w:rPr>
              <w:t>1-3144</w:t>
            </w:r>
            <w:r>
              <w:rPr>
                <w:rFonts w:ascii="Calibri" w:eastAsia="Times New Roman" w:hAnsi="Calibri" w:cs="Calibri"/>
                <w:szCs w:val="24"/>
                <w:lang w:bidi="he-IL"/>
              </w:rPr>
              <w:t xml:space="preserve"> IGA</w:t>
            </w:r>
          </w:p>
        </w:tc>
        <w:tc>
          <w:tcPr>
            <w:tcW w:w="1119" w:type="dxa"/>
            <w:shd w:val="clear" w:color="auto" w:fill="auto"/>
            <w:vAlign w:val="center"/>
            <w:hideMark/>
          </w:tcPr>
          <w:p w14:paraId="13CD6252" w14:textId="77777777" w:rsidR="00136AB4" w:rsidRPr="008E3CAA" w:rsidRDefault="00136AB4" w:rsidP="00136AB4">
            <w:pPr>
              <w:spacing w:after="0" w:line="240" w:lineRule="auto"/>
              <w:jc w:val="center"/>
              <w:rPr>
                <w:rFonts w:ascii="Calibri" w:eastAsia="Times New Roman" w:hAnsi="Calibri" w:cs="Calibri"/>
                <w:szCs w:val="24"/>
                <w:lang w:bidi="he-IL"/>
              </w:rPr>
            </w:pPr>
            <w:r w:rsidRPr="008E3CAA">
              <w:rPr>
                <w:rFonts w:ascii="Calibri" w:eastAsia="Times New Roman" w:hAnsi="Calibri" w:cs="Calibri"/>
                <w:szCs w:val="24"/>
                <w:lang w:bidi="he-IL"/>
              </w:rPr>
              <w:t>$30,000</w:t>
            </w:r>
          </w:p>
        </w:tc>
        <w:tc>
          <w:tcPr>
            <w:tcW w:w="1280" w:type="dxa"/>
            <w:vAlign w:val="center"/>
          </w:tcPr>
          <w:p w14:paraId="49419910" w14:textId="77777777" w:rsidR="00136AB4" w:rsidRDefault="00136AB4" w:rsidP="00136AB4">
            <w:pPr>
              <w:spacing w:after="0" w:line="240" w:lineRule="auto"/>
              <w:jc w:val="center"/>
              <w:rPr>
                <w:rFonts w:ascii="Calibri" w:eastAsia="Times New Roman" w:hAnsi="Calibri" w:cs="Calibri"/>
                <w:szCs w:val="24"/>
                <w:lang w:bidi="he-IL"/>
              </w:rPr>
            </w:pPr>
            <w:r w:rsidRPr="008E3CAA">
              <w:rPr>
                <w:rFonts w:ascii="Calibri" w:eastAsia="Times New Roman" w:hAnsi="Calibri" w:cs="Calibri"/>
                <w:szCs w:val="24"/>
                <w:lang w:bidi="he-IL"/>
              </w:rPr>
              <w:t>$</w:t>
            </w:r>
            <w:r>
              <w:rPr>
                <w:rFonts w:ascii="Calibri" w:eastAsia="Times New Roman" w:hAnsi="Calibri" w:cs="Calibri"/>
                <w:szCs w:val="24"/>
                <w:lang w:bidi="he-IL"/>
              </w:rPr>
              <w:t>15</w:t>
            </w:r>
            <w:r w:rsidRPr="008E3CAA">
              <w:rPr>
                <w:rFonts w:ascii="Calibri" w:eastAsia="Times New Roman" w:hAnsi="Calibri" w:cs="Calibri"/>
                <w:szCs w:val="24"/>
                <w:lang w:bidi="he-IL"/>
              </w:rPr>
              <w:t>,000</w:t>
            </w:r>
          </w:p>
        </w:tc>
        <w:tc>
          <w:tcPr>
            <w:tcW w:w="1280" w:type="dxa"/>
            <w:shd w:val="clear" w:color="auto" w:fill="auto"/>
            <w:vAlign w:val="center"/>
            <w:hideMark/>
          </w:tcPr>
          <w:p w14:paraId="7499DA45" w14:textId="77777777" w:rsidR="00136AB4" w:rsidRPr="008E3CAA" w:rsidRDefault="00136AB4"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10/31/2022</w:t>
            </w:r>
          </w:p>
        </w:tc>
      </w:tr>
      <w:tr w:rsidR="00136AB4" w:rsidRPr="008E3CAA" w14:paraId="7DA650AF" w14:textId="77777777" w:rsidTr="00136AB4">
        <w:trPr>
          <w:trHeight w:val="630"/>
        </w:trPr>
        <w:tc>
          <w:tcPr>
            <w:tcW w:w="2156" w:type="dxa"/>
            <w:shd w:val="clear" w:color="auto" w:fill="auto"/>
            <w:vAlign w:val="center"/>
            <w:hideMark/>
          </w:tcPr>
          <w:p w14:paraId="2ED5D4DF" w14:textId="77777777" w:rsidR="00136AB4" w:rsidRPr="008E3CAA" w:rsidRDefault="00136AB4" w:rsidP="00136AB4">
            <w:pPr>
              <w:spacing w:after="0" w:line="240" w:lineRule="auto"/>
              <w:rPr>
                <w:rFonts w:ascii="Calibri" w:eastAsia="Times New Roman" w:hAnsi="Calibri" w:cs="Calibri"/>
                <w:szCs w:val="24"/>
                <w:lang w:bidi="he-IL"/>
              </w:rPr>
            </w:pPr>
            <w:r w:rsidRPr="008E3CAA">
              <w:rPr>
                <w:rFonts w:ascii="Calibri" w:eastAsia="Times New Roman" w:hAnsi="Calibri" w:cs="Calibri"/>
                <w:szCs w:val="24"/>
                <w:lang w:bidi="he-IL"/>
              </w:rPr>
              <w:t>Pinal County Water Augmentation Authority</w:t>
            </w:r>
          </w:p>
        </w:tc>
        <w:tc>
          <w:tcPr>
            <w:tcW w:w="4402" w:type="dxa"/>
            <w:vAlign w:val="center"/>
          </w:tcPr>
          <w:p w14:paraId="5C5439F0" w14:textId="77777777" w:rsidR="00136AB4" w:rsidRPr="008E3CAA" w:rsidRDefault="00136AB4" w:rsidP="00136AB4">
            <w:pPr>
              <w:spacing w:after="0" w:line="240" w:lineRule="auto"/>
              <w:rPr>
                <w:rFonts w:ascii="Calibri" w:eastAsia="Times New Roman" w:hAnsi="Calibri" w:cs="Calibri"/>
                <w:szCs w:val="24"/>
                <w:lang w:bidi="he-IL"/>
              </w:rPr>
            </w:pPr>
            <w:r w:rsidRPr="008E3CAA">
              <w:rPr>
                <w:rFonts w:ascii="Calibri" w:eastAsia="Times New Roman" w:hAnsi="Calibri" w:cs="Calibri"/>
                <w:sz w:val="20"/>
                <w:lang w:bidi="he-IL"/>
              </w:rPr>
              <w:t xml:space="preserve">Support the development </w:t>
            </w:r>
            <w:r>
              <w:rPr>
                <w:rFonts w:ascii="Calibri" w:eastAsia="Times New Roman" w:hAnsi="Calibri" w:cs="Calibri"/>
                <w:sz w:val="20"/>
                <w:lang w:bidi="he-IL"/>
              </w:rPr>
              <w:t>&amp;</w:t>
            </w:r>
            <w:r w:rsidRPr="008E3CAA">
              <w:rPr>
                <w:rFonts w:ascii="Calibri" w:eastAsia="Times New Roman" w:hAnsi="Calibri" w:cs="Calibri"/>
                <w:sz w:val="20"/>
                <w:lang w:bidi="he-IL"/>
              </w:rPr>
              <w:t xml:space="preserve"> augmentation of water resources for the benefit of all users in Pinal </w:t>
            </w:r>
            <w:r>
              <w:rPr>
                <w:rFonts w:ascii="Calibri" w:eastAsia="Times New Roman" w:hAnsi="Calibri" w:cs="Calibri"/>
                <w:sz w:val="20"/>
                <w:lang w:bidi="he-IL"/>
              </w:rPr>
              <w:t>AMA</w:t>
            </w:r>
          </w:p>
        </w:tc>
        <w:tc>
          <w:tcPr>
            <w:tcW w:w="1200" w:type="dxa"/>
            <w:vAlign w:val="center"/>
          </w:tcPr>
          <w:p w14:paraId="263F9E9B" w14:textId="77777777" w:rsidR="00136AB4" w:rsidRPr="008E3CAA" w:rsidRDefault="00136AB4" w:rsidP="00136AB4">
            <w:pPr>
              <w:spacing w:after="0" w:line="240" w:lineRule="auto"/>
              <w:jc w:val="center"/>
              <w:rPr>
                <w:rFonts w:ascii="Calibri" w:eastAsia="Times New Roman" w:hAnsi="Calibri" w:cs="Calibri"/>
                <w:szCs w:val="24"/>
                <w:lang w:bidi="he-IL"/>
              </w:rPr>
            </w:pPr>
            <w:r w:rsidRPr="008E3CAA">
              <w:rPr>
                <w:rFonts w:ascii="Calibri" w:eastAsia="Times New Roman" w:hAnsi="Calibri" w:cs="Calibri"/>
                <w:szCs w:val="24"/>
                <w:lang w:bidi="he-IL"/>
              </w:rPr>
              <w:t>In Statute</w:t>
            </w:r>
          </w:p>
          <w:p w14:paraId="71B461CB" w14:textId="77777777" w:rsidR="00136AB4" w:rsidRPr="008E3CAA" w:rsidRDefault="00136AB4" w:rsidP="00136AB4">
            <w:pPr>
              <w:spacing w:after="0" w:line="240" w:lineRule="auto"/>
              <w:jc w:val="center"/>
              <w:rPr>
                <w:rFonts w:ascii="Calibri" w:eastAsia="Times New Roman" w:hAnsi="Calibri" w:cs="Calibri"/>
                <w:szCs w:val="24"/>
                <w:lang w:bidi="he-IL"/>
              </w:rPr>
            </w:pPr>
            <w:r w:rsidRPr="004874DE">
              <w:rPr>
                <w:rFonts w:ascii="Calibri" w:eastAsia="Times New Roman" w:hAnsi="Calibri" w:cs="Calibri"/>
                <w:sz w:val="16"/>
                <w:szCs w:val="24"/>
                <w:lang w:bidi="he-IL"/>
              </w:rPr>
              <w:t>A.R.S. 45-1972(B)</w:t>
            </w:r>
          </w:p>
        </w:tc>
        <w:tc>
          <w:tcPr>
            <w:tcW w:w="1119" w:type="dxa"/>
            <w:shd w:val="clear" w:color="auto" w:fill="auto"/>
            <w:vAlign w:val="center"/>
            <w:hideMark/>
          </w:tcPr>
          <w:p w14:paraId="30189F82" w14:textId="77777777" w:rsidR="00136AB4" w:rsidRPr="008E3CAA" w:rsidRDefault="00136AB4" w:rsidP="00136AB4">
            <w:pPr>
              <w:spacing w:after="0" w:line="240" w:lineRule="auto"/>
              <w:jc w:val="center"/>
              <w:rPr>
                <w:rFonts w:ascii="Calibri" w:eastAsia="Times New Roman" w:hAnsi="Calibri" w:cs="Calibri"/>
                <w:szCs w:val="24"/>
                <w:lang w:bidi="he-IL"/>
              </w:rPr>
            </w:pPr>
            <w:r w:rsidRPr="008E3CAA">
              <w:rPr>
                <w:rFonts w:ascii="Calibri" w:eastAsia="Times New Roman" w:hAnsi="Calibri" w:cs="Calibri"/>
                <w:szCs w:val="24"/>
                <w:lang w:bidi="he-IL"/>
              </w:rPr>
              <w:t>Up to $200,000</w:t>
            </w:r>
          </w:p>
        </w:tc>
        <w:tc>
          <w:tcPr>
            <w:tcW w:w="1280" w:type="dxa"/>
            <w:vAlign w:val="center"/>
          </w:tcPr>
          <w:p w14:paraId="3BAC1452" w14:textId="77777777" w:rsidR="00136AB4" w:rsidRPr="008E3CAA" w:rsidRDefault="00136AB4"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$200,000</w:t>
            </w:r>
          </w:p>
        </w:tc>
        <w:tc>
          <w:tcPr>
            <w:tcW w:w="1280" w:type="dxa"/>
            <w:shd w:val="clear" w:color="auto" w:fill="auto"/>
            <w:vAlign w:val="center"/>
            <w:hideMark/>
          </w:tcPr>
          <w:p w14:paraId="53945C50" w14:textId="77777777" w:rsidR="00136AB4" w:rsidRPr="008E3CAA" w:rsidRDefault="00136AB4" w:rsidP="00136AB4">
            <w:pPr>
              <w:spacing w:after="0" w:line="240" w:lineRule="auto"/>
              <w:jc w:val="center"/>
              <w:rPr>
                <w:rFonts w:ascii="Calibri" w:eastAsia="Times New Roman" w:hAnsi="Calibri" w:cs="Calibri"/>
                <w:szCs w:val="24"/>
                <w:lang w:bidi="he-IL"/>
              </w:rPr>
            </w:pPr>
            <w:r>
              <w:rPr>
                <w:rFonts w:ascii="Calibri" w:eastAsia="Times New Roman" w:hAnsi="Calibri" w:cs="Calibri"/>
                <w:szCs w:val="24"/>
                <w:lang w:bidi="he-IL"/>
              </w:rPr>
              <w:t>FY 2020-21</w:t>
            </w:r>
          </w:p>
        </w:tc>
      </w:tr>
    </w:tbl>
    <w:p w14:paraId="1C9DA363" w14:textId="77777777" w:rsidR="00D80D22" w:rsidRDefault="00D80D22" w:rsidP="00974182">
      <w:pPr>
        <w:spacing w:after="0" w:line="240" w:lineRule="auto"/>
        <w:jc w:val="center"/>
        <w:rPr>
          <w:b/>
          <w:sz w:val="26"/>
          <w:szCs w:val="26"/>
        </w:rPr>
      </w:pPr>
    </w:p>
    <w:tbl>
      <w:tblPr>
        <w:tblpPr w:leftFromText="180" w:rightFromText="180" w:vertAnchor="page" w:horzAnchor="margin" w:tblpXSpec="center" w:tblpY="7519"/>
        <w:tblW w:w="1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2157"/>
        <w:gridCol w:w="4403"/>
        <w:gridCol w:w="1200"/>
        <w:gridCol w:w="1120"/>
        <w:gridCol w:w="1280"/>
        <w:gridCol w:w="1280"/>
      </w:tblGrid>
      <w:tr w:rsidR="00136AB4" w:rsidRPr="008E3CAA" w14:paraId="0A8FF613" w14:textId="77777777" w:rsidTr="00136AB4">
        <w:trPr>
          <w:trHeight w:val="17"/>
        </w:trPr>
        <w:tc>
          <w:tcPr>
            <w:tcW w:w="2157" w:type="dxa"/>
            <w:shd w:val="clear" w:color="auto" w:fill="D9E2F3" w:themeFill="accent1" w:themeFillTint="33"/>
            <w:vAlign w:val="center"/>
          </w:tcPr>
          <w:p w14:paraId="60E832C6"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 xml:space="preserve">PROJECT </w:t>
            </w:r>
          </w:p>
          <w:p w14:paraId="46F0C8CB"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NAME</w:t>
            </w:r>
          </w:p>
        </w:tc>
        <w:tc>
          <w:tcPr>
            <w:tcW w:w="4403" w:type="dxa"/>
            <w:shd w:val="clear" w:color="auto" w:fill="D9E2F3" w:themeFill="accent1" w:themeFillTint="33"/>
            <w:vAlign w:val="center"/>
          </w:tcPr>
          <w:p w14:paraId="1E53FF0C"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DESCRIPTION</w:t>
            </w:r>
          </w:p>
        </w:tc>
        <w:tc>
          <w:tcPr>
            <w:tcW w:w="1200" w:type="dxa"/>
            <w:shd w:val="clear" w:color="auto" w:fill="D9E2F3" w:themeFill="accent1" w:themeFillTint="33"/>
            <w:vAlign w:val="center"/>
          </w:tcPr>
          <w:p w14:paraId="176C2709"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CONTRACT NUMBER</w:t>
            </w:r>
          </w:p>
        </w:tc>
        <w:tc>
          <w:tcPr>
            <w:tcW w:w="1120" w:type="dxa"/>
            <w:shd w:val="clear" w:color="auto" w:fill="D9E2F3" w:themeFill="accent1" w:themeFillTint="33"/>
            <w:vAlign w:val="center"/>
          </w:tcPr>
          <w:p w14:paraId="2B22362C" w14:textId="77777777" w:rsidR="00136AB4" w:rsidRPr="008E3CAA" w:rsidRDefault="00136AB4" w:rsidP="00136AB4">
            <w:pPr>
              <w:spacing w:after="0" w:line="240" w:lineRule="auto"/>
              <w:jc w:val="center"/>
              <w:rPr>
                <w:rFonts w:ascii="Calibri" w:eastAsia="Times New Roman" w:hAnsi="Calibri" w:cs="Calibri"/>
                <w:b/>
                <w:bCs/>
                <w:szCs w:val="24"/>
                <w:lang w:bidi="he-IL"/>
              </w:rPr>
            </w:pPr>
            <w:r>
              <w:rPr>
                <w:rFonts w:ascii="Calibri" w:eastAsia="Times New Roman" w:hAnsi="Calibri" w:cs="Calibri"/>
                <w:b/>
                <w:bCs/>
                <w:szCs w:val="24"/>
                <w:lang w:bidi="he-IL"/>
              </w:rPr>
              <w:t>TOTAL FUNDING</w:t>
            </w:r>
          </w:p>
        </w:tc>
        <w:tc>
          <w:tcPr>
            <w:tcW w:w="1280" w:type="dxa"/>
            <w:shd w:val="clear" w:color="auto" w:fill="D9E2F3" w:themeFill="accent1" w:themeFillTint="33"/>
          </w:tcPr>
          <w:p w14:paraId="5A850EC6" w14:textId="77777777" w:rsidR="00136AB4" w:rsidRPr="008E3CAA" w:rsidRDefault="00136AB4" w:rsidP="00136AB4">
            <w:pPr>
              <w:spacing w:after="0" w:line="240" w:lineRule="auto"/>
              <w:jc w:val="center"/>
              <w:rPr>
                <w:rFonts w:ascii="Calibri" w:eastAsia="Times New Roman" w:hAnsi="Calibri" w:cs="Calibri"/>
                <w:b/>
                <w:bCs/>
                <w:szCs w:val="24"/>
                <w:lang w:bidi="he-IL"/>
              </w:rPr>
            </w:pPr>
            <w:r>
              <w:rPr>
                <w:rFonts w:ascii="Calibri" w:eastAsia="Times New Roman" w:hAnsi="Calibri" w:cs="Calibri"/>
                <w:b/>
                <w:bCs/>
                <w:szCs w:val="24"/>
                <w:lang w:bidi="he-IL"/>
              </w:rPr>
              <w:t>REMAINING FUNDING</w:t>
            </w:r>
          </w:p>
        </w:tc>
        <w:tc>
          <w:tcPr>
            <w:tcW w:w="1280" w:type="dxa"/>
            <w:shd w:val="clear" w:color="auto" w:fill="D9E2F3" w:themeFill="accent1" w:themeFillTint="33"/>
            <w:vAlign w:val="center"/>
          </w:tcPr>
          <w:p w14:paraId="3D94A523" w14:textId="77777777" w:rsidR="00136AB4" w:rsidRPr="008E3CAA" w:rsidRDefault="00136AB4" w:rsidP="00136AB4">
            <w:pPr>
              <w:spacing w:after="0" w:line="240" w:lineRule="auto"/>
              <w:jc w:val="center"/>
              <w:rPr>
                <w:rFonts w:ascii="Calibri" w:eastAsia="Times New Roman" w:hAnsi="Calibri" w:cs="Calibri"/>
                <w:b/>
                <w:bCs/>
                <w:szCs w:val="24"/>
                <w:lang w:bidi="he-IL"/>
              </w:rPr>
            </w:pPr>
            <w:r w:rsidRPr="008E3CAA">
              <w:rPr>
                <w:rFonts w:ascii="Calibri" w:eastAsia="Times New Roman" w:hAnsi="Calibri" w:cs="Calibri"/>
                <w:b/>
                <w:bCs/>
                <w:szCs w:val="24"/>
                <w:lang w:bidi="he-IL"/>
              </w:rPr>
              <w:t>CONTRACT ENDS</w:t>
            </w:r>
          </w:p>
        </w:tc>
      </w:tr>
      <w:tr w:rsidR="00136AB4" w:rsidRPr="008E3CAA" w14:paraId="73C8281F" w14:textId="77777777" w:rsidTr="00136AB4">
        <w:trPr>
          <w:trHeight w:val="680"/>
        </w:trPr>
        <w:tc>
          <w:tcPr>
            <w:tcW w:w="2157" w:type="dxa"/>
            <w:shd w:val="clear" w:color="auto" w:fill="auto"/>
            <w:vAlign w:val="center"/>
            <w:hideMark/>
          </w:tcPr>
          <w:p w14:paraId="4FDFFFE2" w14:textId="77777777" w:rsidR="00136AB4" w:rsidRPr="00326A0E" w:rsidRDefault="00136AB4" w:rsidP="00136AB4">
            <w:pPr>
              <w:spacing w:after="0" w:line="240" w:lineRule="auto"/>
              <w:rPr>
                <w:rFonts w:ascii="Calibri" w:eastAsia="Times New Roman" w:hAnsi="Calibri" w:cs="Calibri"/>
                <w:lang w:bidi="he-IL"/>
              </w:rPr>
            </w:pPr>
            <w:r w:rsidRPr="00326A0E">
              <w:rPr>
                <w:rFonts w:ascii="Calibri" w:eastAsia="Times New Roman" w:hAnsi="Calibri" w:cs="Calibri"/>
                <w:lang w:bidi="he-IL"/>
              </w:rPr>
              <w:t>Using Project-Based STEM Education to Enhance Groundwater Conservation in Pinal County Schools</w:t>
            </w:r>
          </w:p>
        </w:tc>
        <w:tc>
          <w:tcPr>
            <w:tcW w:w="4403" w:type="dxa"/>
            <w:vAlign w:val="center"/>
          </w:tcPr>
          <w:p w14:paraId="5F6857CB" w14:textId="77777777" w:rsidR="00136AB4" w:rsidRPr="00326A0E" w:rsidRDefault="00136AB4" w:rsidP="00136AB4">
            <w:pPr>
              <w:spacing w:after="0" w:line="240" w:lineRule="auto"/>
              <w:rPr>
                <w:rFonts w:ascii="Calibri" w:eastAsia="Times New Roman" w:hAnsi="Calibri" w:cs="Calibri"/>
                <w:lang w:bidi="he-IL"/>
              </w:rPr>
            </w:pPr>
            <w:r w:rsidRPr="00326A0E">
              <w:rPr>
                <w:rFonts w:ascii="Calibri" w:eastAsia="Times New Roman" w:hAnsi="Calibri" w:cs="Calibri"/>
                <w:lang w:bidi="he-IL"/>
              </w:rPr>
              <w:t>Develop and deliver a new educational curriculum combining a thorough understanding of the groundwater system with opportunities to conserve tangible groundwater resources at schools within the Pinal AMA.</w:t>
            </w:r>
          </w:p>
        </w:tc>
        <w:tc>
          <w:tcPr>
            <w:tcW w:w="1200" w:type="dxa"/>
            <w:vAlign w:val="center"/>
          </w:tcPr>
          <w:p w14:paraId="40FCE6A8" w14:textId="77777777" w:rsidR="00136AB4" w:rsidRPr="00326A0E" w:rsidRDefault="00136AB4" w:rsidP="00136AB4">
            <w:pPr>
              <w:spacing w:after="0" w:line="240" w:lineRule="auto"/>
              <w:jc w:val="center"/>
              <w:rPr>
                <w:rFonts w:ascii="Calibri" w:eastAsia="Times New Roman" w:hAnsi="Calibri" w:cs="Calibri"/>
                <w:lang w:bidi="he-IL"/>
              </w:rPr>
            </w:pPr>
            <w:r w:rsidRPr="00326A0E">
              <w:rPr>
                <w:rFonts w:ascii="Calibri" w:eastAsia="Times New Roman" w:hAnsi="Calibri" w:cs="Calibri"/>
                <w:lang w:bidi="he-IL"/>
              </w:rPr>
              <w:t>2020-3124</w:t>
            </w:r>
          </w:p>
        </w:tc>
        <w:tc>
          <w:tcPr>
            <w:tcW w:w="1120" w:type="dxa"/>
            <w:shd w:val="clear" w:color="auto" w:fill="auto"/>
            <w:vAlign w:val="center"/>
            <w:hideMark/>
          </w:tcPr>
          <w:p w14:paraId="412981B0" w14:textId="77777777" w:rsidR="00136AB4" w:rsidRPr="00326A0E" w:rsidRDefault="00136AB4" w:rsidP="00136AB4">
            <w:pPr>
              <w:spacing w:after="0" w:line="240" w:lineRule="auto"/>
              <w:jc w:val="center"/>
              <w:rPr>
                <w:rFonts w:ascii="Calibri" w:eastAsia="Times New Roman" w:hAnsi="Calibri" w:cs="Calibri"/>
                <w:lang w:bidi="he-IL"/>
              </w:rPr>
            </w:pPr>
            <w:r w:rsidRPr="00326A0E">
              <w:rPr>
                <w:rFonts w:ascii="Calibri" w:eastAsia="Times New Roman" w:hAnsi="Calibri" w:cs="Calibri"/>
                <w:lang w:bidi="he-IL"/>
              </w:rPr>
              <w:t>$43,681</w:t>
            </w:r>
          </w:p>
        </w:tc>
        <w:tc>
          <w:tcPr>
            <w:tcW w:w="1280" w:type="dxa"/>
            <w:vAlign w:val="center"/>
          </w:tcPr>
          <w:p w14:paraId="706121CA" w14:textId="77777777" w:rsidR="00136AB4" w:rsidRPr="00326A0E" w:rsidRDefault="00136AB4" w:rsidP="00136AB4">
            <w:pPr>
              <w:spacing w:after="0" w:line="240" w:lineRule="auto"/>
              <w:jc w:val="center"/>
              <w:rPr>
                <w:rFonts w:ascii="Calibri" w:eastAsia="Times New Roman" w:hAnsi="Calibri" w:cs="Calibri"/>
                <w:lang w:bidi="he-IL"/>
              </w:rPr>
            </w:pPr>
            <w:r>
              <w:rPr>
                <w:rFonts w:ascii="Calibri" w:eastAsia="Times New Roman" w:hAnsi="Calibri" w:cs="Calibri"/>
                <w:lang w:bidi="he-IL"/>
              </w:rPr>
              <w:t>$21,681</w:t>
            </w:r>
          </w:p>
        </w:tc>
        <w:tc>
          <w:tcPr>
            <w:tcW w:w="1280" w:type="dxa"/>
            <w:shd w:val="clear" w:color="auto" w:fill="auto"/>
            <w:vAlign w:val="center"/>
            <w:hideMark/>
          </w:tcPr>
          <w:p w14:paraId="595A2EF4" w14:textId="77777777" w:rsidR="00136AB4" w:rsidRPr="00326A0E" w:rsidRDefault="00136AB4" w:rsidP="00136AB4">
            <w:pPr>
              <w:spacing w:after="0" w:line="240" w:lineRule="auto"/>
              <w:jc w:val="center"/>
              <w:rPr>
                <w:rFonts w:ascii="Calibri" w:eastAsia="Times New Roman" w:hAnsi="Calibri" w:cs="Calibri"/>
                <w:lang w:bidi="he-IL"/>
              </w:rPr>
            </w:pPr>
            <w:r w:rsidRPr="00326A0E">
              <w:rPr>
                <w:rFonts w:ascii="Calibri" w:eastAsia="Times New Roman" w:hAnsi="Calibri" w:cs="Calibri"/>
                <w:lang w:bidi="he-IL"/>
              </w:rPr>
              <w:t>10/31/2024</w:t>
            </w:r>
          </w:p>
        </w:tc>
      </w:tr>
      <w:tr w:rsidR="00136AB4" w:rsidRPr="008E3CAA" w14:paraId="741FB2A6" w14:textId="77777777" w:rsidTr="00136AB4">
        <w:trPr>
          <w:trHeight w:val="1305"/>
        </w:trPr>
        <w:tc>
          <w:tcPr>
            <w:tcW w:w="2157" w:type="dxa"/>
            <w:shd w:val="clear" w:color="auto" w:fill="auto"/>
            <w:vAlign w:val="center"/>
            <w:hideMark/>
          </w:tcPr>
          <w:p w14:paraId="60B8132A" w14:textId="77777777" w:rsidR="00136AB4" w:rsidRPr="00326A0E" w:rsidRDefault="00136AB4" w:rsidP="00136AB4">
            <w:pPr>
              <w:spacing w:after="0" w:line="240" w:lineRule="auto"/>
              <w:rPr>
                <w:rFonts w:ascii="Calibri" w:eastAsia="Times New Roman" w:hAnsi="Calibri" w:cs="Calibri"/>
                <w:lang w:bidi="he-IL"/>
              </w:rPr>
            </w:pPr>
            <w:r w:rsidRPr="00326A0E">
              <w:rPr>
                <w:rFonts w:ascii="Calibri" w:eastAsia="Times New Roman" w:hAnsi="Calibri" w:cs="Calibri"/>
                <w:lang w:bidi="he-IL"/>
              </w:rPr>
              <w:t>Leak Detection Equipment Replacement Project - Pinal AMA</w:t>
            </w:r>
          </w:p>
        </w:tc>
        <w:tc>
          <w:tcPr>
            <w:tcW w:w="4403" w:type="dxa"/>
            <w:vAlign w:val="center"/>
          </w:tcPr>
          <w:p w14:paraId="10C40D4D" w14:textId="77777777" w:rsidR="00136AB4" w:rsidRPr="00326A0E" w:rsidRDefault="00136AB4" w:rsidP="00136AB4">
            <w:pPr>
              <w:spacing w:after="0" w:line="240" w:lineRule="auto"/>
              <w:rPr>
                <w:rFonts w:ascii="Calibri" w:eastAsia="Times New Roman" w:hAnsi="Calibri" w:cs="Calibri"/>
                <w:lang w:bidi="he-IL"/>
              </w:rPr>
            </w:pPr>
            <w:r w:rsidRPr="00326A0E">
              <w:rPr>
                <w:rFonts w:ascii="Calibri" w:eastAsia="Times New Roman" w:hAnsi="Calibri" w:cs="Calibri"/>
                <w:lang w:bidi="he-IL"/>
              </w:rPr>
              <w:t>Purchase new leak detection equipment to replace current equipment. Leverage this project with its ESRI ArcGIS Field Rollout Project; The two projects work together to provide the most effective and comprehensive leak detection programs for Arizona Water Company water systems.</w:t>
            </w:r>
          </w:p>
        </w:tc>
        <w:tc>
          <w:tcPr>
            <w:tcW w:w="1200" w:type="dxa"/>
            <w:vAlign w:val="center"/>
          </w:tcPr>
          <w:p w14:paraId="4C3EEAAF" w14:textId="77777777" w:rsidR="00136AB4" w:rsidRPr="00326A0E" w:rsidRDefault="00136AB4" w:rsidP="00136AB4">
            <w:pPr>
              <w:spacing w:after="0" w:line="240" w:lineRule="auto"/>
              <w:jc w:val="center"/>
              <w:rPr>
                <w:rFonts w:ascii="Calibri" w:eastAsia="Times New Roman" w:hAnsi="Calibri" w:cs="Calibri"/>
                <w:lang w:bidi="he-IL"/>
              </w:rPr>
            </w:pPr>
            <w:r w:rsidRPr="00326A0E">
              <w:rPr>
                <w:rFonts w:ascii="Calibri" w:eastAsia="Times New Roman" w:hAnsi="Calibri" w:cs="Calibri"/>
                <w:lang w:bidi="he-IL"/>
              </w:rPr>
              <w:t>2020-3126</w:t>
            </w:r>
          </w:p>
        </w:tc>
        <w:tc>
          <w:tcPr>
            <w:tcW w:w="1120" w:type="dxa"/>
            <w:shd w:val="clear" w:color="auto" w:fill="auto"/>
            <w:vAlign w:val="center"/>
            <w:hideMark/>
          </w:tcPr>
          <w:p w14:paraId="24BE1FC1" w14:textId="77777777" w:rsidR="00136AB4" w:rsidRPr="00326A0E" w:rsidRDefault="00136AB4" w:rsidP="00136AB4">
            <w:pPr>
              <w:spacing w:after="0" w:line="240" w:lineRule="auto"/>
              <w:jc w:val="center"/>
              <w:rPr>
                <w:rFonts w:ascii="Calibri" w:eastAsia="Times New Roman" w:hAnsi="Calibri" w:cs="Calibri"/>
                <w:lang w:bidi="he-IL"/>
              </w:rPr>
            </w:pPr>
            <w:r w:rsidRPr="00326A0E">
              <w:rPr>
                <w:rFonts w:ascii="Calibri" w:eastAsia="Times New Roman" w:hAnsi="Calibri" w:cs="Calibri"/>
                <w:lang w:bidi="he-IL"/>
              </w:rPr>
              <w:t>$</w:t>
            </w:r>
            <w:r>
              <w:rPr>
                <w:rFonts w:ascii="Calibri" w:eastAsia="Times New Roman" w:hAnsi="Calibri" w:cs="Calibri"/>
                <w:lang w:bidi="he-IL"/>
              </w:rPr>
              <w:t>106</w:t>
            </w:r>
            <w:r w:rsidRPr="00326A0E">
              <w:rPr>
                <w:rFonts w:ascii="Calibri" w:eastAsia="Times New Roman" w:hAnsi="Calibri" w:cs="Calibri"/>
                <w:lang w:bidi="he-IL"/>
              </w:rPr>
              <w:t>,319</w:t>
            </w:r>
          </w:p>
        </w:tc>
        <w:tc>
          <w:tcPr>
            <w:tcW w:w="1280" w:type="dxa"/>
            <w:vAlign w:val="center"/>
          </w:tcPr>
          <w:p w14:paraId="2CD50356" w14:textId="77777777" w:rsidR="00136AB4" w:rsidRPr="00326A0E" w:rsidRDefault="00136AB4" w:rsidP="00136AB4">
            <w:pPr>
              <w:spacing w:after="0" w:line="240" w:lineRule="auto"/>
              <w:jc w:val="center"/>
              <w:rPr>
                <w:rFonts w:ascii="Calibri" w:eastAsia="Times New Roman" w:hAnsi="Calibri" w:cs="Calibri"/>
                <w:lang w:bidi="he-IL"/>
              </w:rPr>
            </w:pPr>
            <w:r w:rsidRPr="00326A0E">
              <w:rPr>
                <w:rFonts w:ascii="Calibri" w:eastAsia="Times New Roman" w:hAnsi="Calibri" w:cs="Calibri"/>
                <w:lang w:bidi="he-IL"/>
              </w:rPr>
              <w:t>$</w:t>
            </w:r>
            <w:r>
              <w:rPr>
                <w:rFonts w:ascii="Calibri" w:eastAsia="Times New Roman" w:hAnsi="Calibri" w:cs="Calibri"/>
                <w:lang w:bidi="he-IL"/>
              </w:rPr>
              <w:t>106</w:t>
            </w:r>
            <w:r w:rsidRPr="00326A0E">
              <w:rPr>
                <w:rFonts w:ascii="Calibri" w:eastAsia="Times New Roman" w:hAnsi="Calibri" w:cs="Calibri"/>
                <w:lang w:bidi="he-IL"/>
              </w:rPr>
              <w:t>,319</w:t>
            </w:r>
          </w:p>
        </w:tc>
        <w:tc>
          <w:tcPr>
            <w:tcW w:w="1280" w:type="dxa"/>
            <w:shd w:val="clear" w:color="auto" w:fill="auto"/>
            <w:vAlign w:val="center"/>
          </w:tcPr>
          <w:p w14:paraId="02EDB404" w14:textId="77777777" w:rsidR="00136AB4" w:rsidRPr="00326A0E" w:rsidRDefault="00136AB4" w:rsidP="00136AB4">
            <w:pPr>
              <w:spacing w:after="0" w:line="240" w:lineRule="auto"/>
              <w:jc w:val="center"/>
              <w:rPr>
                <w:rFonts w:ascii="Calibri" w:eastAsia="Times New Roman" w:hAnsi="Calibri" w:cs="Calibri"/>
                <w:lang w:bidi="he-IL"/>
              </w:rPr>
            </w:pPr>
            <w:r>
              <w:rPr>
                <w:rFonts w:ascii="Calibri" w:eastAsia="Times New Roman" w:hAnsi="Calibri" w:cs="Calibri"/>
                <w:lang w:bidi="he-IL"/>
              </w:rPr>
              <w:t>3/31/2026</w:t>
            </w:r>
          </w:p>
        </w:tc>
      </w:tr>
    </w:tbl>
    <w:p w14:paraId="5ABB2C27" w14:textId="2CE852F6" w:rsidR="00974182" w:rsidRDefault="00974182" w:rsidP="00974182">
      <w:pPr>
        <w:spacing w:after="0" w:line="240" w:lineRule="auto"/>
        <w:jc w:val="center"/>
        <w:rPr>
          <w:rFonts w:ascii="Calibri" w:eastAsia="Times New Roman" w:hAnsi="Calibri" w:cs="Calibri"/>
          <w:b/>
          <w:bCs/>
          <w:color w:val="1C3158"/>
          <w:sz w:val="34"/>
          <w:szCs w:val="34"/>
          <w:lang w:bidi="he-IL"/>
        </w:rPr>
      </w:pPr>
      <w:r>
        <w:rPr>
          <w:rFonts w:ascii="Calibri" w:eastAsia="Times New Roman" w:hAnsi="Calibri" w:cs="Calibri"/>
          <w:b/>
          <w:bCs/>
          <w:color w:val="1C3158"/>
          <w:sz w:val="34"/>
          <w:szCs w:val="34"/>
          <w:lang w:bidi="he-IL"/>
        </w:rPr>
        <w:t xml:space="preserve">Groundwater Conservation Grant </w:t>
      </w:r>
      <w:r w:rsidRPr="00663B53">
        <w:rPr>
          <w:rFonts w:ascii="Calibri" w:eastAsia="Times New Roman" w:hAnsi="Calibri" w:cs="Calibri"/>
          <w:b/>
          <w:bCs/>
          <w:color w:val="1C3158"/>
          <w:sz w:val="34"/>
          <w:szCs w:val="34"/>
          <w:lang w:bidi="he-IL"/>
        </w:rPr>
        <w:t>Projects</w:t>
      </w:r>
    </w:p>
    <w:p w14:paraId="67C37B23" w14:textId="77777777" w:rsidR="00136AB4" w:rsidRDefault="00136AB4" w:rsidP="00974182">
      <w:pPr>
        <w:spacing w:after="0" w:line="240" w:lineRule="auto"/>
        <w:jc w:val="center"/>
        <w:rPr>
          <w:rFonts w:ascii="Calibri" w:eastAsia="Times New Roman" w:hAnsi="Calibri" w:cs="Calibri"/>
          <w:b/>
          <w:bCs/>
          <w:color w:val="1C3158"/>
          <w:sz w:val="34"/>
          <w:szCs w:val="34"/>
          <w:lang w:bidi="he-IL"/>
        </w:rPr>
      </w:pPr>
    </w:p>
    <w:p w14:paraId="4A5AB726" w14:textId="65452193" w:rsidR="0038231A" w:rsidRPr="0038231A" w:rsidRDefault="0038231A" w:rsidP="0038231A">
      <w:pPr>
        <w:pStyle w:val="ListParagraph"/>
        <w:numPr>
          <w:ilvl w:val="0"/>
          <w:numId w:val="1"/>
        </w:numPr>
        <w:spacing w:after="0" w:line="240" w:lineRule="auto"/>
        <w:rPr>
          <w:rFonts w:ascii="Calibri" w:eastAsia="Times New Roman" w:hAnsi="Calibri" w:cs="Calibri"/>
          <w:b/>
          <w:bCs/>
          <w:color w:val="1C3158"/>
          <w:sz w:val="26"/>
          <w:szCs w:val="26"/>
          <w:lang w:bidi="he-IL"/>
        </w:rPr>
      </w:pPr>
      <w:r w:rsidRPr="0038231A">
        <w:rPr>
          <w:rFonts w:ascii="Calibri" w:eastAsia="Times New Roman" w:hAnsi="Calibri" w:cs="Calibri"/>
          <w:b/>
          <w:bCs/>
          <w:color w:val="1C3158"/>
          <w:sz w:val="26"/>
          <w:szCs w:val="26"/>
          <w:lang w:bidi="he-IL"/>
        </w:rPr>
        <w:t>WMAP Fund Updates</w:t>
      </w:r>
    </w:p>
    <w:p w14:paraId="33C54708" w14:textId="3FDB7413" w:rsidR="00974182" w:rsidRPr="0038231A" w:rsidRDefault="0038231A" w:rsidP="0038231A">
      <w:pPr>
        <w:pStyle w:val="ListParagraph"/>
        <w:numPr>
          <w:ilvl w:val="1"/>
          <w:numId w:val="1"/>
        </w:numPr>
        <w:spacing w:after="0" w:line="240" w:lineRule="auto"/>
        <w:rPr>
          <w:rFonts w:ascii="Calibri" w:eastAsia="Times New Roman" w:hAnsi="Calibri" w:cs="Calibri"/>
          <w:color w:val="1C3158"/>
          <w:sz w:val="26"/>
          <w:szCs w:val="26"/>
          <w:lang w:bidi="he-IL"/>
        </w:rPr>
      </w:pPr>
      <w:r w:rsidRPr="0038231A">
        <w:rPr>
          <w:rFonts w:ascii="Calibri" w:eastAsia="Times New Roman" w:hAnsi="Calibri" w:cs="Calibri"/>
          <w:color w:val="1C3158"/>
          <w:sz w:val="26"/>
          <w:szCs w:val="26"/>
          <w:lang w:bidi="he-IL"/>
        </w:rPr>
        <w:t xml:space="preserve">The current WMAP fee in the </w:t>
      </w:r>
      <w:r w:rsidR="00136AB4">
        <w:rPr>
          <w:rFonts w:ascii="Calibri" w:eastAsia="Times New Roman" w:hAnsi="Calibri" w:cs="Calibri"/>
          <w:color w:val="1C3158"/>
          <w:sz w:val="26"/>
          <w:szCs w:val="26"/>
          <w:lang w:bidi="he-IL"/>
        </w:rPr>
        <w:t>Pinal</w:t>
      </w:r>
      <w:r w:rsidRPr="0038231A">
        <w:rPr>
          <w:rFonts w:ascii="Calibri" w:eastAsia="Times New Roman" w:hAnsi="Calibri" w:cs="Calibri"/>
          <w:color w:val="1C3158"/>
          <w:sz w:val="26"/>
          <w:szCs w:val="26"/>
          <w:lang w:bidi="he-IL"/>
        </w:rPr>
        <w:t xml:space="preserve"> AMA is set at $</w:t>
      </w:r>
      <w:r w:rsidR="00D01163">
        <w:rPr>
          <w:rFonts w:ascii="Calibri" w:eastAsia="Times New Roman" w:hAnsi="Calibri" w:cs="Calibri"/>
          <w:color w:val="1C3158"/>
          <w:sz w:val="26"/>
          <w:szCs w:val="26"/>
          <w:lang w:bidi="he-IL"/>
        </w:rPr>
        <w:t>0</w:t>
      </w:r>
      <w:r w:rsidRPr="0038231A">
        <w:rPr>
          <w:rFonts w:ascii="Calibri" w:eastAsia="Times New Roman" w:hAnsi="Calibri" w:cs="Calibri"/>
          <w:color w:val="1C3158"/>
          <w:sz w:val="26"/>
          <w:szCs w:val="26"/>
          <w:lang w:bidi="he-IL"/>
        </w:rPr>
        <w:t>.</w:t>
      </w:r>
      <w:r w:rsidR="00136AB4">
        <w:rPr>
          <w:rFonts w:ascii="Calibri" w:eastAsia="Times New Roman" w:hAnsi="Calibri" w:cs="Calibri"/>
          <w:color w:val="1C3158"/>
          <w:sz w:val="26"/>
          <w:szCs w:val="26"/>
          <w:lang w:bidi="he-IL"/>
        </w:rPr>
        <w:t>6</w:t>
      </w:r>
      <w:r w:rsidRPr="0038231A">
        <w:rPr>
          <w:rFonts w:ascii="Calibri" w:eastAsia="Times New Roman" w:hAnsi="Calibri" w:cs="Calibri"/>
          <w:color w:val="1C3158"/>
          <w:sz w:val="26"/>
          <w:szCs w:val="26"/>
          <w:lang w:bidi="he-IL"/>
        </w:rPr>
        <w:t>5</w:t>
      </w:r>
      <w:r>
        <w:rPr>
          <w:rFonts w:ascii="Calibri" w:eastAsia="Times New Roman" w:hAnsi="Calibri" w:cs="Calibri"/>
          <w:color w:val="1C3158"/>
          <w:sz w:val="26"/>
          <w:szCs w:val="26"/>
          <w:lang w:bidi="he-IL"/>
        </w:rPr>
        <w:t xml:space="preserve"> for 2022</w:t>
      </w:r>
    </w:p>
    <w:p w14:paraId="619A56D8" w14:textId="57142949" w:rsidR="0038231A" w:rsidRDefault="0038231A" w:rsidP="0038231A">
      <w:pPr>
        <w:pStyle w:val="ListParagraph"/>
        <w:numPr>
          <w:ilvl w:val="2"/>
          <w:numId w:val="1"/>
        </w:numPr>
        <w:spacing w:after="0" w:line="240" w:lineRule="auto"/>
        <w:rPr>
          <w:rFonts w:ascii="Calibri" w:eastAsia="Times New Roman" w:hAnsi="Calibri" w:cs="Calibri"/>
          <w:color w:val="1C3158"/>
          <w:sz w:val="26"/>
          <w:szCs w:val="26"/>
          <w:lang w:bidi="he-IL"/>
        </w:rPr>
      </w:pPr>
      <w:r w:rsidRPr="0038231A">
        <w:rPr>
          <w:rFonts w:ascii="Calibri" w:eastAsia="Times New Roman" w:hAnsi="Calibri" w:cs="Calibri"/>
          <w:color w:val="1C3158"/>
          <w:sz w:val="26"/>
          <w:szCs w:val="26"/>
          <w:lang w:bidi="he-IL"/>
        </w:rPr>
        <w:t xml:space="preserve">ADWR collects </w:t>
      </w:r>
      <w:r w:rsidR="00F90339">
        <w:rPr>
          <w:rFonts w:ascii="Calibri" w:eastAsia="Times New Roman" w:hAnsi="Calibri" w:cs="Calibri"/>
          <w:color w:val="1C3158"/>
          <w:sz w:val="26"/>
          <w:szCs w:val="26"/>
          <w:lang w:bidi="he-IL"/>
        </w:rPr>
        <w:t>~</w:t>
      </w:r>
      <w:r w:rsidRPr="0038231A">
        <w:rPr>
          <w:rFonts w:ascii="Calibri" w:eastAsia="Times New Roman" w:hAnsi="Calibri" w:cs="Calibri"/>
          <w:color w:val="1C3158"/>
          <w:sz w:val="26"/>
          <w:szCs w:val="26"/>
          <w:lang w:bidi="he-IL"/>
        </w:rPr>
        <w:t>$</w:t>
      </w:r>
      <w:r w:rsidR="00136AB4">
        <w:rPr>
          <w:rFonts w:ascii="Calibri" w:eastAsia="Times New Roman" w:hAnsi="Calibri" w:cs="Calibri"/>
          <w:color w:val="1C3158"/>
          <w:sz w:val="26"/>
          <w:szCs w:val="26"/>
          <w:lang w:bidi="he-IL"/>
        </w:rPr>
        <w:t>335</w:t>
      </w:r>
      <w:r w:rsidRPr="0038231A">
        <w:rPr>
          <w:rFonts w:ascii="Calibri" w:eastAsia="Times New Roman" w:hAnsi="Calibri" w:cs="Calibri"/>
          <w:color w:val="1C3158"/>
          <w:sz w:val="26"/>
          <w:szCs w:val="26"/>
          <w:lang w:bidi="he-IL"/>
        </w:rPr>
        <w:t xml:space="preserve">,000 annually </w:t>
      </w:r>
      <w:r w:rsidR="00F90339">
        <w:rPr>
          <w:rFonts w:ascii="Calibri" w:eastAsia="Times New Roman" w:hAnsi="Calibri" w:cs="Calibri"/>
          <w:color w:val="1C3158"/>
          <w:sz w:val="26"/>
          <w:szCs w:val="26"/>
          <w:lang w:bidi="he-IL"/>
        </w:rPr>
        <w:t>at the current rate</w:t>
      </w:r>
    </w:p>
    <w:p w14:paraId="7A10374F" w14:textId="562A7E0A" w:rsidR="00D80D22" w:rsidRDefault="00D80D22" w:rsidP="0038231A">
      <w:pPr>
        <w:pStyle w:val="ListParagraph"/>
        <w:numPr>
          <w:ilvl w:val="2"/>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 xml:space="preserve">The </w:t>
      </w:r>
      <w:r w:rsidR="00EE464F">
        <w:rPr>
          <w:rFonts w:ascii="Calibri" w:eastAsia="Times New Roman" w:hAnsi="Calibri" w:cs="Calibri"/>
          <w:color w:val="1C3158"/>
          <w:sz w:val="26"/>
          <w:szCs w:val="26"/>
          <w:lang w:bidi="he-IL"/>
        </w:rPr>
        <w:t>Pinal</w:t>
      </w:r>
      <w:r>
        <w:rPr>
          <w:rFonts w:ascii="Calibri" w:eastAsia="Times New Roman" w:hAnsi="Calibri" w:cs="Calibri"/>
          <w:color w:val="1C3158"/>
          <w:sz w:val="26"/>
          <w:szCs w:val="26"/>
          <w:lang w:bidi="he-IL"/>
        </w:rPr>
        <w:t xml:space="preserve"> WMAP currently provides $</w:t>
      </w:r>
      <w:r w:rsidR="00136AB4">
        <w:rPr>
          <w:rFonts w:ascii="Calibri" w:eastAsia="Times New Roman" w:hAnsi="Calibri" w:cs="Calibri"/>
          <w:color w:val="1C3158"/>
          <w:sz w:val="26"/>
          <w:szCs w:val="26"/>
          <w:lang w:bidi="he-IL"/>
        </w:rPr>
        <w:t>350,000</w:t>
      </w:r>
      <w:r>
        <w:rPr>
          <w:rFonts w:ascii="Calibri" w:eastAsia="Times New Roman" w:hAnsi="Calibri" w:cs="Calibri"/>
          <w:color w:val="1C3158"/>
          <w:sz w:val="26"/>
          <w:szCs w:val="26"/>
          <w:lang w:bidi="he-IL"/>
        </w:rPr>
        <w:t xml:space="preserve"> annually on long-term renewed projects</w:t>
      </w:r>
    </w:p>
    <w:p w14:paraId="05F93EA8" w14:textId="391103FD" w:rsidR="00F33629" w:rsidRDefault="00F33629" w:rsidP="0038231A">
      <w:pPr>
        <w:pStyle w:val="ListParagraph"/>
        <w:numPr>
          <w:ilvl w:val="2"/>
          <w:numId w:val="1"/>
        </w:numPr>
        <w:spacing w:after="0" w:line="240" w:lineRule="auto"/>
        <w:rPr>
          <w:rFonts w:ascii="Calibri" w:eastAsia="Times New Roman" w:hAnsi="Calibri" w:cs="Calibri"/>
          <w:color w:val="1C3158"/>
          <w:sz w:val="26"/>
          <w:szCs w:val="26"/>
          <w:lang w:bidi="he-IL"/>
        </w:rPr>
      </w:pPr>
      <w:r>
        <w:rPr>
          <w:rFonts w:ascii="Calibri" w:eastAsia="Times New Roman" w:hAnsi="Calibri" w:cs="Calibri"/>
          <w:color w:val="1C3158"/>
          <w:sz w:val="26"/>
          <w:szCs w:val="26"/>
          <w:lang w:bidi="he-IL"/>
        </w:rPr>
        <w:t>At t</w:t>
      </w:r>
      <w:r w:rsidR="001F6CFD">
        <w:rPr>
          <w:rFonts w:ascii="Calibri" w:eastAsia="Times New Roman" w:hAnsi="Calibri" w:cs="Calibri"/>
          <w:color w:val="1C3158"/>
          <w:sz w:val="26"/>
          <w:szCs w:val="26"/>
          <w:lang w:bidi="he-IL"/>
        </w:rPr>
        <w:t>his</w:t>
      </w:r>
      <w:r>
        <w:rPr>
          <w:rFonts w:ascii="Calibri" w:eastAsia="Times New Roman" w:hAnsi="Calibri" w:cs="Calibri"/>
          <w:color w:val="1C3158"/>
          <w:sz w:val="26"/>
          <w:szCs w:val="26"/>
          <w:lang w:bidi="he-IL"/>
        </w:rPr>
        <w:t xml:space="preserve"> rate, the WMAP would </w:t>
      </w:r>
      <w:r w:rsidR="001F6CFD">
        <w:rPr>
          <w:rFonts w:ascii="Calibri" w:eastAsia="Times New Roman" w:hAnsi="Calibri" w:cs="Calibri"/>
          <w:color w:val="1C3158"/>
          <w:sz w:val="26"/>
          <w:szCs w:val="26"/>
          <w:lang w:bidi="he-IL"/>
        </w:rPr>
        <w:t xml:space="preserve">need to </w:t>
      </w:r>
      <w:r>
        <w:rPr>
          <w:rFonts w:ascii="Calibri" w:eastAsia="Times New Roman" w:hAnsi="Calibri" w:cs="Calibri"/>
          <w:color w:val="1C3158"/>
          <w:sz w:val="26"/>
          <w:szCs w:val="26"/>
          <w:lang w:bidi="he-IL"/>
        </w:rPr>
        <w:t>reduce or eliminate funding for some projects in 20</w:t>
      </w:r>
      <w:r w:rsidR="001F6CFD">
        <w:rPr>
          <w:rFonts w:ascii="Calibri" w:eastAsia="Times New Roman" w:hAnsi="Calibri" w:cs="Calibri"/>
          <w:color w:val="1C3158"/>
          <w:sz w:val="26"/>
          <w:szCs w:val="26"/>
          <w:lang w:bidi="he-IL"/>
        </w:rPr>
        <w:t>33</w:t>
      </w:r>
    </w:p>
    <w:p w14:paraId="773489C4" w14:textId="00F77859" w:rsidR="00C7002D" w:rsidRDefault="00C7002D" w:rsidP="00C7002D">
      <w:pPr>
        <w:spacing w:after="0" w:line="240" w:lineRule="auto"/>
        <w:rPr>
          <w:rFonts w:ascii="Calibri" w:eastAsia="Times New Roman" w:hAnsi="Calibri" w:cs="Calibri"/>
          <w:color w:val="FF0000"/>
          <w:sz w:val="26"/>
          <w:szCs w:val="26"/>
          <w:lang w:bidi="he-IL"/>
        </w:rPr>
      </w:pPr>
    </w:p>
    <w:p w14:paraId="30D0AA93" w14:textId="507197A7" w:rsidR="001F6CFD" w:rsidRPr="000D2992" w:rsidRDefault="001F6CFD" w:rsidP="001F6CFD">
      <w:pPr>
        <w:spacing w:after="0" w:line="240" w:lineRule="auto"/>
        <w:jc w:val="center"/>
        <w:rPr>
          <w:rFonts w:ascii="Calibri" w:eastAsia="Times New Roman" w:hAnsi="Calibri" w:cs="Calibri"/>
          <w:b/>
          <w:bCs/>
          <w:color w:val="FF0000"/>
          <w:sz w:val="26"/>
          <w:szCs w:val="26"/>
          <w:lang w:bidi="he-IL"/>
        </w:rPr>
      </w:pPr>
      <w:r w:rsidRPr="000D2992">
        <w:rPr>
          <w:rFonts w:ascii="Calibri" w:eastAsia="Times New Roman" w:hAnsi="Calibri" w:cs="Calibri"/>
          <w:b/>
          <w:bCs/>
          <w:color w:val="FF0000"/>
          <w:sz w:val="26"/>
          <w:szCs w:val="26"/>
          <w:lang w:bidi="he-IL"/>
        </w:rPr>
        <w:lastRenderedPageBreak/>
        <w:t>WMAP Fund Balance Projection at Current Rate</w:t>
      </w:r>
    </w:p>
    <w:tbl>
      <w:tblPr>
        <w:tblW w:w="8203" w:type="dxa"/>
        <w:jc w:val="center"/>
        <w:tblLook w:val="04A0" w:firstRow="1" w:lastRow="0" w:firstColumn="1" w:lastColumn="0" w:noHBand="0" w:noVBand="1"/>
      </w:tblPr>
      <w:tblGrid>
        <w:gridCol w:w="1023"/>
        <w:gridCol w:w="1555"/>
        <w:gridCol w:w="1491"/>
        <w:gridCol w:w="2515"/>
        <w:gridCol w:w="1619"/>
      </w:tblGrid>
      <w:tr w:rsidR="000D2992" w:rsidRPr="000D2992" w14:paraId="25254C15" w14:textId="77777777" w:rsidTr="000D2992">
        <w:trPr>
          <w:trHeight w:val="262"/>
          <w:jc w:val="center"/>
        </w:trPr>
        <w:tc>
          <w:tcPr>
            <w:tcW w:w="102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CBDF9AC" w14:textId="77777777" w:rsidR="000D2992" w:rsidRPr="000D2992" w:rsidRDefault="000D2992" w:rsidP="000D2992">
            <w:pPr>
              <w:spacing w:after="0" w:line="240" w:lineRule="auto"/>
              <w:rPr>
                <w:rFonts w:ascii="Calibri" w:eastAsia="Times New Roman" w:hAnsi="Calibri" w:cs="Calibri"/>
                <w:color w:val="000000"/>
              </w:rPr>
            </w:pPr>
            <w:r w:rsidRPr="000D2992">
              <w:rPr>
                <w:rFonts w:ascii="Calibri" w:eastAsia="Times New Roman" w:hAnsi="Calibri" w:cs="Calibri"/>
                <w:color w:val="000000"/>
              </w:rPr>
              <w:t>Year</w:t>
            </w:r>
          </w:p>
        </w:tc>
        <w:tc>
          <w:tcPr>
            <w:tcW w:w="1555" w:type="dxa"/>
            <w:tcBorders>
              <w:top w:val="single" w:sz="8" w:space="0" w:color="auto"/>
              <w:left w:val="nil"/>
              <w:bottom w:val="single" w:sz="8" w:space="0" w:color="auto"/>
              <w:right w:val="single" w:sz="4" w:space="0" w:color="auto"/>
            </w:tcBorders>
            <w:shd w:val="clear" w:color="auto" w:fill="auto"/>
            <w:noWrap/>
            <w:vAlign w:val="bottom"/>
            <w:hideMark/>
          </w:tcPr>
          <w:p w14:paraId="3F1FFF85" w14:textId="77777777" w:rsidR="000D2992" w:rsidRPr="000D2992" w:rsidRDefault="000D2992" w:rsidP="000D2992">
            <w:pPr>
              <w:spacing w:after="0" w:line="240" w:lineRule="auto"/>
              <w:rPr>
                <w:rFonts w:ascii="Calibri" w:eastAsia="Times New Roman" w:hAnsi="Calibri" w:cs="Calibri"/>
                <w:color w:val="000000"/>
              </w:rPr>
            </w:pPr>
            <w:r w:rsidRPr="000D2992">
              <w:rPr>
                <w:rFonts w:ascii="Calibri" w:eastAsia="Times New Roman" w:hAnsi="Calibri" w:cs="Calibri"/>
                <w:color w:val="000000"/>
              </w:rPr>
              <w:t>WMAP Fee/AF</w:t>
            </w:r>
          </w:p>
        </w:tc>
        <w:tc>
          <w:tcPr>
            <w:tcW w:w="1491" w:type="dxa"/>
            <w:tcBorders>
              <w:top w:val="single" w:sz="8" w:space="0" w:color="auto"/>
              <w:left w:val="nil"/>
              <w:bottom w:val="single" w:sz="8" w:space="0" w:color="auto"/>
              <w:right w:val="single" w:sz="4" w:space="0" w:color="auto"/>
            </w:tcBorders>
            <w:shd w:val="clear" w:color="auto" w:fill="auto"/>
            <w:noWrap/>
            <w:vAlign w:val="bottom"/>
            <w:hideMark/>
          </w:tcPr>
          <w:p w14:paraId="499A6875" w14:textId="77777777" w:rsidR="000D2992" w:rsidRPr="000D2992" w:rsidRDefault="000D2992" w:rsidP="000D2992">
            <w:pPr>
              <w:spacing w:after="0" w:line="240" w:lineRule="auto"/>
              <w:rPr>
                <w:rFonts w:ascii="Calibri" w:eastAsia="Times New Roman" w:hAnsi="Calibri" w:cs="Calibri"/>
                <w:color w:val="000000"/>
              </w:rPr>
            </w:pPr>
            <w:r w:rsidRPr="000D2992">
              <w:rPr>
                <w:rFonts w:ascii="Calibri" w:eastAsia="Times New Roman" w:hAnsi="Calibri" w:cs="Calibri"/>
                <w:color w:val="000000"/>
              </w:rPr>
              <w:t>WMAP Fee/</w:t>
            </w:r>
            <w:proofErr w:type="spellStart"/>
            <w:r w:rsidRPr="000D2992">
              <w:rPr>
                <w:rFonts w:ascii="Calibri" w:eastAsia="Times New Roman" w:hAnsi="Calibri" w:cs="Calibri"/>
                <w:color w:val="000000"/>
              </w:rPr>
              <w:t>Yr</w:t>
            </w:r>
            <w:proofErr w:type="spellEnd"/>
          </w:p>
        </w:tc>
        <w:tc>
          <w:tcPr>
            <w:tcW w:w="2515" w:type="dxa"/>
            <w:tcBorders>
              <w:top w:val="single" w:sz="8" w:space="0" w:color="auto"/>
              <w:left w:val="nil"/>
              <w:bottom w:val="single" w:sz="8" w:space="0" w:color="auto"/>
              <w:right w:val="single" w:sz="4" w:space="0" w:color="auto"/>
            </w:tcBorders>
            <w:shd w:val="clear" w:color="auto" w:fill="auto"/>
            <w:noWrap/>
            <w:vAlign w:val="bottom"/>
            <w:hideMark/>
          </w:tcPr>
          <w:p w14:paraId="43A633DC" w14:textId="77777777" w:rsidR="000D2992" w:rsidRPr="000D2992" w:rsidRDefault="000D2992" w:rsidP="000D2992">
            <w:pPr>
              <w:spacing w:after="0" w:line="240" w:lineRule="auto"/>
              <w:rPr>
                <w:rFonts w:ascii="Calibri" w:eastAsia="Times New Roman" w:hAnsi="Calibri" w:cs="Calibri"/>
                <w:color w:val="000000"/>
              </w:rPr>
            </w:pPr>
            <w:r w:rsidRPr="000D2992">
              <w:rPr>
                <w:rFonts w:ascii="Calibri" w:eastAsia="Times New Roman" w:hAnsi="Calibri" w:cs="Calibri"/>
                <w:color w:val="000000"/>
              </w:rPr>
              <w:t>WMAP Legacy Contracts</w:t>
            </w:r>
          </w:p>
        </w:tc>
        <w:tc>
          <w:tcPr>
            <w:tcW w:w="1619" w:type="dxa"/>
            <w:tcBorders>
              <w:top w:val="single" w:sz="8" w:space="0" w:color="auto"/>
              <w:left w:val="nil"/>
              <w:bottom w:val="single" w:sz="8" w:space="0" w:color="auto"/>
              <w:right w:val="single" w:sz="8" w:space="0" w:color="auto"/>
            </w:tcBorders>
            <w:shd w:val="clear" w:color="auto" w:fill="auto"/>
            <w:noWrap/>
            <w:vAlign w:val="bottom"/>
            <w:hideMark/>
          </w:tcPr>
          <w:p w14:paraId="5A205337" w14:textId="77777777" w:rsidR="000D2992" w:rsidRPr="000D2992" w:rsidRDefault="000D2992" w:rsidP="000D2992">
            <w:pPr>
              <w:spacing w:after="0" w:line="240" w:lineRule="auto"/>
              <w:rPr>
                <w:rFonts w:ascii="Calibri" w:eastAsia="Times New Roman" w:hAnsi="Calibri" w:cs="Calibri"/>
                <w:color w:val="000000"/>
              </w:rPr>
            </w:pPr>
            <w:r w:rsidRPr="000D2992">
              <w:rPr>
                <w:rFonts w:ascii="Calibri" w:eastAsia="Times New Roman" w:hAnsi="Calibri" w:cs="Calibri"/>
                <w:color w:val="000000"/>
              </w:rPr>
              <w:t>WMAP Balance</w:t>
            </w:r>
          </w:p>
        </w:tc>
      </w:tr>
      <w:tr w:rsidR="000D2992" w:rsidRPr="000D2992" w14:paraId="23F3A62B"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22E49913"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2022</w:t>
            </w:r>
          </w:p>
        </w:tc>
        <w:tc>
          <w:tcPr>
            <w:tcW w:w="1555" w:type="dxa"/>
            <w:tcBorders>
              <w:top w:val="nil"/>
              <w:left w:val="nil"/>
              <w:bottom w:val="single" w:sz="4" w:space="0" w:color="auto"/>
              <w:right w:val="single" w:sz="4" w:space="0" w:color="auto"/>
            </w:tcBorders>
            <w:shd w:val="clear" w:color="auto" w:fill="auto"/>
            <w:noWrap/>
            <w:vAlign w:val="bottom"/>
            <w:hideMark/>
          </w:tcPr>
          <w:p w14:paraId="36D12068"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0FD4F998"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7877FE74"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2E6997DC"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$107,259 </w:t>
            </w:r>
          </w:p>
        </w:tc>
      </w:tr>
      <w:tr w:rsidR="000D2992" w:rsidRPr="000D2992" w14:paraId="012A49DA"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553A91E4"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2023</w:t>
            </w:r>
          </w:p>
        </w:tc>
        <w:tc>
          <w:tcPr>
            <w:tcW w:w="1555" w:type="dxa"/>
            <w:tcBorders>
              <w:top w:val="nil"/>
              <w:left w:val="nil"/>
              <w:bottom w:val="single" w:sz="4" w:space="0" w:color="auto"/>
              <w:right w:val="single" w:sz="4" w:space="0" w:color="auto"/>
            </w:tcBorders>
            <w:shd w:val="clear" w:color="auto" w:fill="auto"/>
            <w:noWrap/>
            <w:vAlign w:val="bottom"/>
            <w:hideMark/>
          </w:tcPr>
          <w:p w14:paraId="42FBC29A"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4F65619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7F5CC66C"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253519C4"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$92,259 </w:t>
            </w:r>
          </w:p>
        </w:tc>
      </w:tr>
      <w:tr w:rsidR="000D2992" w:rsidRPr="000D2992" w14:paraId="04267DC6"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4E5FD4E9"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2024</w:t>
            </w:r>
          </w:p>
        </w:tc>
        <w:tc>
          <w:tcPr>
            <w:tcW w:w="1555" w:type="dxa"/>
            <w:tcBorders>
              <w:top w:val="nil"/>
              <w:left w:val="nil"/>
              <w:bottom w:val="single" w:sz="4" w:space="0" w:color="auto"/>
              <w:right w:val="single" w:sz="4" w:space="0" w:color="auto"/>
            </w:tcBorders>
            <w:shd w:val="clear" w:color="auto" w:fill="auto"/>
            <w:noWrap/>
            <w:vAlign w:val="bottom"/>
            <w:hideMark/>
          </w:tcPr>
          <w:p w14:paraId="4D77C8A2"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0758D9EE"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76AD223A"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6B06EFB2"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$77,259 </w:t>
            </w:r>
          </w:p>
        </w:tc>
      </w:tr>
      <w:tr w:rsidR="000D2992" w:rsidRPr="000D2992" w14:paraId="03F12383"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53B3BD04"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2025</w:t>
            </w:r>
          </w:p>
        </w:tc>
        <w:tc>
          <w:tcPr>
            <w:tcW w:w="1555" w:type="dxa"/>
            <w:tcBorders>
              <w:top w:val="nil"/>
              <w:left w:val="nil"/>
              <w:bottom w:val="single" w:sz="4" w:space="0" w:color="auto"/>
              <w:right w:val="single" w:sz="4" w:space="0" w:color="auto"/>
            </w:tcBorders>
            <w:shd w:val="clear" w:color="auto" w:fill="auto"/>
            <w:noWrap/>
            <w:vAlign w:val="bottom"/>
            <w:hideMark/>
          </w:tcPr>
          <w:p w14:paraId="3167231D"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5CBACF26"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05A9C6D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5D3CE384"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$62,259 </w:t>
            </w:r>
          </w:p>
        </w:tc>
      </w:tr>
      <w:tr w:rsidR="000D2992" w:rsidRPr="000D2992" w14:paraId="46D8240C"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54EC02EC"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2026</w:t>
            </w:r>
          </w:p>
        </w:tc>
        <w:tc>
          <w:tcPr>
            <w:tcW w:w="1555" w:type="dxa"/>
            <w:tcBorders>
              <w:top w:val="nil"/>
              <w:left w:val="nil"/>
              <w:bottom w:val="single" w:sz="4" w:space="0" w:color="auto"/>
              <w:right w:val="single" w:sz="4" w:space="0" w:color="auto"/>
            </w:tcBorders>
            <w:shd w:val="clear" w:color="auto" w:fill="auto"/>
            <w:noWrap/>
            <w:vAlign w:val="bottom"/>
            <w:hideMark/>
          </w:tcPr>
          <w:p w14:paraId="7D39099F"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10331C90"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13DB8746"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67E13C6E"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$47,259 </w:t>
            </w:r>
          </w:p>
        </w:tc>
      </w:tr>
      <w:tr w:rsidR="000D2992" w:rsidRPr="000D2992" w14:paraId="0DA679D9"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6CEBC343"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2027</w:t>
            </w:r>
          </w:p>
        </w:tc>
        <w:tc>
          <w:tcPr>
            <w:tcW w:w="1555" w:type="dxa"/>
            <w:tcBorders>
              <w:top w:val="nil"/>
              <w:left w:val="nil"/>
              <w:bottom w:val="single" w:sz="4" w:space="0" w:color="auto"/>
              <w:right w:val="single" w:sz="4" w:space="0" w:color="auto"/>
            </w:tcBorders>
            <w:shd w:val="clear" w:color="auto" w:fill="auto"/>
            <w:noWrap/>
            <w:vAlign w:val="bottom"/>
            <w:hideMark/>
          </w:tcPr>
          <w:p w14:paraId="2BAED88D"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6DB672C2"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0B5D7F0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1CDE0D07"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$32,259 </w:t>
            </w:r>
          </w:p>
        </w:tc>
      </w:tr>
      <w:tr w:rsidR="000D2992" w:rsidRPr="000D2992" w14:paraId="68E62B6E"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469D251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2028</w:t>
            </w:r>
          </w:p>
        </w:tc>
        <w:tc>
          <w:tcPr>
            <w:tcW w:w="1555" w:type="dxa"/>
            <w:tcBorders>
              <w:top w:val="nil"/>
              <w:left w:val="nil"/>
              <w:bottom w:val="single" w:sz="4" w:space="0" w:color="auto"/>
              <w:right w:val="single" w:sz="4" w:space="0" w:color="auto"/>
            </w:tcBorders>
            <w:shd w:val="clear" w:color="auto" w:fill="auto"/>
            <w:noWrap/>
            <w:vAlign w:val="bottom"/>
            <w:hideMark/>
          </w:tcPr>
          <w:p w14:paraId="15A3CF9A"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485FF2EE"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23F75FD7"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64248A9A"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$17,259 </w:t>
            </w:r>
          </w:p>
        </w:tc>
      </w:tr>
      <w:tr w:rsidR="000D2992" w:rsidRPr="000D2992" w14:paraId="1F73DBDF"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611D13F8"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2029</w:t>
            </w:r>
          </w:p>
        </w:tc>
        <w:tc>
          <w:tcPr>
            <w:tcW w:w="1555" w:type="dxa"/>
            <w:tcBorders>
              <w:top w:val="nil"/>
              <w:left w:val="nil"/>
              <w:bottom w:val="single" w:sz="4" w:space="0" w:color="auto"/>
              <w:right w:val="single" w:sz="4" w:space="0" w:color="auto"/>
            </w:tcBorders>
            <w:shd w:val="clear" w:color="auto" w:fill="auto"/>
            <w:noWrap/>
            <w:vAlign w:val="bottom"/>
            <w:hideMark/>
          </w:tcPr>
          <w:p w14:paraId="3393F859"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4EAB2D59"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17F77FF5"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0CF49E9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$2,259 </w:t>
            </w:r>
          </w:p>
        </w:tc>
      </w:tr>
      <w:tr w:rsidR="000D2992" w:rsidRPr="000D2992" w14:paraId="1A6809BA"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3AC6C085"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2030</w:t>
            </w:r>
          </w:p>
        </w:tc>
        <w:tc>
          <w:tcPr>
            <w:tcW w:w="1555" w:type="dxa"/>
            <w:tcBorders>
              <w:top w:val="nil"/>
              <w:left w:val="nil"/>
              <w:bottom w:val="single" w:sz="4" w:space="0" w:color="auto"/>
              <w:right w:val="single" w:sz="4" w:space="0" w:color="auto"/>
            </w:tcBorders>
            <w:shd w:val="clear" w:color="auto" w:fill="auto"/>
            <w:noWrap/>
            <w:vAlign w:val="bottom"/>
            <w:hideMark/>
          </w:tcPr>
          <w:p w14:paraId="75D4853B"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75081D3E"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5356DA9E"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460DCC6B"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($12,741)</w:t>
            </w:r>
          </w:p>
        </w:tc>
      </w:tr>
      <w:tr w:rsidR="000D2992" w:rsidRPr="000D2992" w14:paraId="486CDE77"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2449EAC8"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2031</w:t>
            </w:r>
          </w:p>
        </w:tc>
        <w:tc>
          <w:tcPr>
            <w:tcW w:w="1555" w:type="dxa"/>
            <w:tcBorders>
              <w:top w:val="nil"/>
              <w:left w:val="nil"/>
              <w:bottom w:val="single" w:sz="4" w:space="0" w:color="auto"/>
              <w:right w:val="single" w:sz="4" w:space="0" w:color="auto"/>
            </w:tcBorders>
            <w:shd w:val="clear" w:color="auto" w:fill="auto"/>
            <w:noWrap/>
            <w:vAlign w:val="bottom"/>
            <w:hideMark/>
          </w:tcPr>
          <w:p w14:paraId="42C0B5B3"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760772F5"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16D22687"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171CD6E5"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($27,741)</w:t>
            </w:r>
          </w:p>
        </w:tc>
      </w:tr>
      <w:tr w:rsidR="000D2992" w:rsidRPr="000D2992" w14:paraId="628C33FD"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139F5BD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2032</w:t>
            </w:r>
          </w:p>
        </w:tc>
        <w:tc>
          <w:tcPr>
            <w:tcW w:w="1555" w:type="dxa"/>
            <w:tcBorders>
              <w:top w:val="nil"/>
              <w:left w:val="nil"/>
              <w:bottom w:val="single" w:sz="4" w:space="0" w:color="auto"/>
              <w:right w:val="single" w:sz="4" w:space="0" w:color="auto"/>
            </w:tcBorders>
            <w:shd w:val="clear" w:color="auto" w:fill="auto"/>
            <w:noWrap/>
            <w:vAlign w:val="bottom"/>
            <w:hideMark/>
          </w:tcPr>
          <w:p w14:paraId="63921992"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76EBDC2A"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516A2733"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706EB7C0"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($42,741)</w:t>
            </w:r>
          </w:p>
        </w:tc>
      </w:tr>
      <w:tr w:rsidR="000D2992" w:rsidRPr="000D2992" w14:paraId="411F94ED"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37B358D6"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2033</w:t>
            </w:r>
          </w:p>
        </w:tc>
        <w:tc>
          <w:tcPr>
            <w:tcW w:w="1555" w:type="dxa"/>
            <w:tcBorders>
              <w:top w:val="nil"/>
              <w:left w:val="nil"/>
              <w:bottom w:val="single" w:sz="4" w:space="0" w:color="auto"/>
              <w:right w:val="single" w:sz="4" w:space="0" w:color="auto"/>
            </w:tcBorders>
            <w:shd w:val="clear" w:color="auto" w:fill="auto"/>
            <w:noWrap/>
            <w:vAlign w:val="bottom"/>
            <w:hideMark/>
          </w:tcPr>
          <w:p w14:paraId="7663E11B"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70BFC111"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075E978D"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52E89EC4"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($57,741)</w:t>
            </w:r>
          </w:p>
        </w:tc>
      </w:tr>
      <w:tr w:rsidR="000D2992" w:rsidRPr="000D2992" w14:paraId="3C80CBF3" w14:textId="77777777" w:rsidTr="000D2992">
        <w:trPr>
          <w:trHeight w:val="251"/>
          <w:jc w:val="center"/>
        </w:trPr>
        <w:tc>
          <w:tcPr>
            <w:tcW w:w="1023" w:type="dxa"/>
            <w:tcBorders>
              <w:top w:val="nil"/>
              <w:left w:val="single" w:sz="8" w:space="0" w:color="auto"/>
              <w:bottom w:val="single" w:sz="4" w:space="0" w:color="auto"/>
              <w:right w:val="single" w:sz="4" w:space="0" w:color="auto"/>
            </w:tcBorders>
            <w:shd w:val="clear" w:color="auto" w:fill="auto"/>
            <w:noWrap/>
            <w:vAlign w:val="bottom"/>
            <w:hideMark/>
          </w:tcPr>
          <w:p w14:paraId="73A12C20"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2034</w:t>
            </w:r>
          </w:p>
        </w:tc>
        <w:tc>
          <w:tcPr>
            <w:tcW w:w="1555" w:type="dxa"/>
            <w:tcBorders>
              <w:top w:val="nil"/>
              <w:left w:val="nil"/>
              <w:bottom w:val="single" w:sz="4" w:space="0" w:color="auto"/>
              <w:right w:val="single" w:sz="4" w:space="0" w:color="auto"/>
            </w:tcBorders>
            <w:shd w:val="clear" w:color="auto" w:fill="auto"/>
            <w:noWrap/>
            <w:vAlign w:val="bottom"/>
            <w:hideMark/>
          </w:tcPr>
          <w:p w14:paraId="0926B446"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4" w:space="0" w:color="auto"/>
              <w:right w:val="single" w:sz="4" w:space="0" w:color="auto"/>
            </w:tcBorders>
            <w:shd w:val="clear" w:color="auto" w:fill="auto"/>
            <w:noWrap/>
            <w:vAlign w:val="bottom"/>
            <w:hideMark/>
          </w:tcPr>
          <w:p w14:paraId="2CDEA398"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4" w:space="0" w:color="auto"/>
              <w:right w:val="single" w:sz="4" w:space="0" w:color="auto"/>
            </w:tcBorders>
            <w:shd w:val="clear" w:color="auto" w:fill="auto"/>
            <w:noWrap/>
            <w:vAlign w:val="bottom"/>
            <w:hideMark/>
          </w:tcPr>
          <w:p w14:paraId="7436C09A"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4" w:space="0" w:color="auto"/>
              <w:right w:val="single" w:sz="8" w:space="0" w:color="auto"/>
            </w:tcBorders>
            <w:shd w:val="clear" w:color="auto" w:fill="auto"/>
            <w:noWrap/>
            <w:vAlign w:val="bottom"/>
            <w:hideMark/>
          </w:tcPr>
          <w:p w14:paraId="7387D199"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($72,741)</w:t>
            </w:r>
          </w:p>
        </w:tc>
      </w:tr>
      <w:tr w:rsidR="000D2992" w:rsidRPr="000D2992" w14:paraId="32F25A33" w14:textId="77777777" w:rsidTr="000D2992">
        <w:trPr>
          <w:trHeight w:val="262"/>
          <w:jc w:val="center"/>
        </w:trPr>
        <w:tc>
          <w:tcPr>
            <w:tcW w:w="1023" w:type="dxa"/>
            <w:tcBorders>
              <w:top w:val="nil"/>
              <w:left w:val="single" w:sz="8" w:space="0" w:color="auto"/>
              <w:bottom w:val="single" w:sz="8" w:space="0" w:color="auto"/>
              <w:right w:val="single" w:sz="4" w:space="0" w:color="auto"/>
            </w:tcBorders>
            <w:shd w:val="clear" w:color="auto" w:fill="auto"/>
            <w:noWrap/>
            <w:vAlign w:val="bottom"/>
            <w:hideMark/>
          </w:tcPr>
          <w:p w14:paraId="341CFC60"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2035</w:t>
            </w:r>
          </w:p>
        </w:tc>
        <w:tc>
          <w:tcPr>
            <w:tcW w:w="1555" w:type="dxa"/>
            <w:tcBorders>
              <w:top w:val="nil"/>
              <w:left w:val="nil"/>
              <w:bottom w:val="single" w:sz="8" w:space="0" w:color="auto"/>
              <w:right w:val="single" w:sz="4" w:space="0" w:color="auto"/>
            </w:tcBorders>
            <w:shd w:val="clear" w:color="auto" w:fill="auto"/>
            <w:noWrap/>
            <w:vAlign w:val="bottom"/>
            <w:hideMark/>
          </w:tcPr>
          <w:p w14:paraId="570AB335"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0.65</w:t>
            </w:r>
          </w:p>
        </w:tc>
        <w:tc>
          <w:tcPr>
            <w:tcW w:w="1491" w:type="dxa"/>
            <w:tcBorders>
              <w:top w:val="nil"/>
              <w:left w:val="nil"/>
              <w:bottom w:val="single" w:sz="8" w:space="0" w:color="auto"/>
              <w:right w:val="single" w:sz="4" w:space="0" w:color="auto"/>
            </w:tcBorders>
            <w:shd w:val="clear" w:color="auto" w:fill="auto"/>
            <w:noWrap/>
            <w:vAlign w:val="bottom"/>
            <w:hideMark/>
          </w:tcPr>
          <w:p w14:paraId="5089EB45"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000000"/>
              </w:rPr>
              <w:t xml:space="preserve">$335,000 </w:t>
            </w:r>
          </w:p>
        </w:tc>
        <w:tc>
          <w:tcPr>
            <w:tcW w:w="2515" w:type="dxa"/>
            <w:tcBorders>
              <w:top w:val="nil"/>
              <w:left w:val="nil"/>
              <w:bottom w:val="single" w:sz="8" w:space="0" w:color="auto"/>
              <w:right w:val="single" w:sz="4" w:space="0" w:color="auto"/>
            </w:tcBorders>
            <w:shd w:val="clear" w:color="auto" w:fill="auto"/>
            <w:noWrap/>
            <w:vAlign w:val="bottom"/>
            <w:hideMark/>
          </w:tcPr>
          <w:p w14:paraId="561388F0"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($350,000)</w:t>
            </w:r>
          </w:p>
        </w:tc>
        <w:tc>
          <w:tcPr>
            <w:tcW w:w="1619" w:type="dxa"/>
            <w:tcBorders>
              <w:top w:val="nil"/>
              <w:left w:val="nil"/>
              <w:bottom w:val="single" w:sz="8" w:space="0" w:color="auto"/>
              <w:right w:val="single" w:sz="8" w:space="0" w:color="auto"/>
            </w:tcBorders>
            <w:shd w:val="clear" w:color="auto" w:fill="auto"/>
            <w:noWrap/>
            <w:vAlign w:val="bottom"/>
            <w:hideMark/>
          </w:tcPr>
          <w:p w14:paraId="467934FB" w14:textId="77777777" w:rsidR="000D2992" w:rsidRPr="000D2992" w:rsidRDefault="000D2992" w:rsidP="000D2992">
            <w:pPr>
              <w:spacing w:after="0" w:line="240" w:lineRule="auto"/>
              <w:jc w:val="right"/>
              <w:rPr>
                <w:rFonts w:ascii="Calibri" w:eastAsia="Times New Roman" w:hAnsi="Calibri" w:cs="Calibri"/>
                <w:color w:val="000000"/>
              </w:rPr>
            </w:pPr>
            <w:r w:rsidRPr="000D2992">
              <w:rPr>
                <w:rFonts w:ascii="Calibri" w:eastAsia="Times New Roman" w:hAnsi="Calibri" w:cs="Calibri"/>
                <w:color w:val="FF0000"/>
              </w:rPr>
              <w:t>($87,741)</w:t>
            </w:r>
          </w:p>
        </w:tc>
      </w:tr>
    </w:tbl>
    <w:p w14:paraId="276049ED" w14:textId="3400CDE2" w:rsidR="00BE53FD" w:rsidRDefault="00BE53FD" w:rsidP="00F33629">
      <w:pPr>
        <w:spacing w:after="0" w:line="240" w:lineRule="auto"/>
        <w:rPr>
          <w:rFonts w:ascii="Calibri" w:eastAsia="Times New Roman" w:hAnsi="Calibri" w:cs="Calibri"/>
          <w:color w:val="FF0000"/>
          <w:sz w:val="26"/>
          <w:szCs w:val="26"/>
          <w:lang w:bidi="he-IL"/>
        </w:rPr>
      </w:pPr>
    </w:p>
    <w:p w14:paraId="1DE72734" w14:textId="0E57C929" w:rsidR="00BE53FD" w:rsidRDefault="000D2992" w:rsidP="001F6CFD">
      <w:pPr>
        <w:spacing w:after="0" w:line="240" w:lineRule="auto"/>
        <w:jc w:val="center"/>
        <w:rPr>
          <w:rFonts w:ascii="Calibri" w:eastAsia="Times New Roman" w:hAnsi="Calibri" w:cs="Calibri"/>
          <w:color w:val="FF0000"/>
          <w:sz w:val="26"/>
          <w:szCs w:val="26"/>
          <w:lang w:bidi="he-IL"/>
        </w:rPr>
      </w:pPr>
      <w:r>
        <w:rPr>
          <w:noProof/>
        </w:rPr>
        <w:drawing>
          <wp:inline distT="0" distB="0" distL="0" distR="0" wp14:anchorId="085E1159" wp14:editId="69A231A7">
            <wp:extent cx="5237018" cy="2921329"/>
            <wp:effectExtent l="0" t="0" r="1905" b="12700"/>
            <wp:docPr id="1" name="Chart 1">
              <a:extLst xmlns:a="http://schemas.openxmlformats.org/drawingml/2006/main">
                <a:ext uri="{FF2B5EF4-FFF2-40B4-BE49-F238E27FC236}">
                  <a16:creationId xmlns:a16="http://schemas.microsoft.com/office/drawing/2014/main" id="{4A3C541E-C32E-40CA-9E43-22EDF0EADF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8CCD62D" w14:textId="4BCEB2FD" w:rsidR="000D2992" w:rsidRDefault="000D2992" w:rsidP="001F6CFD">
      <w:pPr>
        <w:spacing w:after="0" w:line="240" w:lineRule="auto"/>
        <w:jc w:val="center"/>
        <w:rPr>
          <w:rFonts w:ascii="Calibri" w:eastAsia="Times New Roman" w:hAnsi="Calibri" w:cs="Calibri"/>
          <w:color w:val="FF0000"/>
          <w:sz w:val="26"/>
          <w:szCs w:val="26"/>
          <w:lang w:bidi="he-IL"/>
        </w:rPr>
      </w:pPr>
    </w:p>
    <w:p w14:paraId="53B57ED5" w14:textId="0B42CEBA" w:rsidR="000D2992" w:rsidRDefault="000D2992" w:rsidP="001F6CFD">
      <w:pPr>
        <w:spacing w:after="0" w:line="240" w:lineRule="auto"/>
        <w:jc w:val="center"/>
        <w:rPr>
          <w:rFonts w:ascii="Calibri" w:eastAsia="Times New Roman" w:hAnsi="Calibri" w:cs="Calibri"/>
          <w:color w:val="FF0000"/>
          <w:sz w:val="26"/>
          <w:szCs w:val="26"/>
          <w:lang w:bidi="he-IL"/>
        </w:rPr>
      </w:pPr>
      <w:r>
        <w:rPr>
          <w:rFonts w:ascii="Calibri" w:eastAsia="Times New Roman" w:hAnsi="Calibri" w:cs="Calibri"/>
          <w:color w:val="FF0000"/>
          <w:sz w:val="26"/>
          <w:szCs w:val="26"/>
          <w:lang w:bidi="he-IL"/>
        </w:rPr>
        <w:t>*Th</w:t>
      </w:r>
      <w:r w:rsidR="00A409F7">
        <w:rPr>
          <w:rFonts w:ascii="Calibri" w:eastAsia="Times New Roman" w:hAnsi="Calibri" w:cs="Calibri"/>
          <w:color w:val="FF0000"/>
          <w:sz w:val="26"/>
          <w:szCs w:val="26"/>
          <w:lang w:bidi="he-IL"/>
        </w:rPr>
        <w:t>ese</w:t>
      </w:r>
      <w:r>
        <w:rPr>
          <w:rFonts w:ascii="Calibri" w:eastAsia="Times New Roman" w:hAnsi="Calibri" w:cs="Calibri"/>
          <w:color w:val="FF0000"/>
          <w:sz w:val="26"/>
          <w:szCs w:val="26"/>
          <w:lang w:bidi="he-IL"/>
        </w:rPr>
        <w:t xml:space="preserve"> table</w:t>
      </w:r>
      <w:r w:rsidR="00A409F7">
        <w:rPr>
          <w:rFonts w:ascii="Calibri" w:eastAsia="Times New Roman" w:hAnsi="Calibri" w:cs="Calibri"/>
          <w:color w:val="FF0000"/>
          <w:sz w:val="26"/>
          <w:szCs w:val="26"/>
          <w:lang w:bidi="he-IL"/>
        </w:rPr>
        <w:t>s</w:t>
      </w:r>
      <w:r>
        <w:rPr>
          <w:rFonts w:ascii="Calibri" w:eastAsia="Times New Roman" w:hAnsi="Calibri" w:cs="Calibri"/>
          <w:color w:val="FF0000"/>
          <w:sz w:val="26"/>
          <w:szCs w:val="26"/>
          <w:lang w:bidi="he-IL"/>
        </w:rPr>
        <w:t xml:space="preserve"> only </w:t>
      </w:r>
      <w:r w:rsidR="00A409F7">
        <w:rPr>
          <w:rFonts w:ascii="Calibri" w:eastAsia="Times New Roman" w:hAnsi="Calibri" w:cs="Calibri"/>
          <w:color w:val="FF0000"/>
          <w:sz w:val="26"/>
          <w:szCs w:val="26"/>
          <w:lang w:bidi="he-IL"/>
        </w:rPr>
        <w:t>depict</w:t>
      </w:r>
      <w:r>
        <w:rPr>
          <w:rFonts w:ascii="Calibri" w:eastAsia="Times New Roman" w:hAnsi="Calibri" w:cs="Calibri"/>
          <w:color w:val="FF0000"/>
          <w:sz w:val="26"/>
          <w:szCs w:val="26"/>
          <w:lang w:bidi="he-IL"/>
        </w:rPr>
        <w:t xml:space="preserve"> the funding of legacy projects. </w:t>
      </w:r>
      <w:r w:rsidR="00A409F7">
        <w:rPr>
          <w:rFonts w:ascii="Calibri" w:eastAsia="Times New Roman" w:hAnsi="Calibri" w:cs="Calibri"/>
          <w:color w:val="FF0000"/>
          <w:sz w:val="26"/>
          <w:szCs w:val="26"/>
          <w:lang w:bidi="he-IL"/>
        </w:rPr>
        <w:t>This data</w:t>
      </w:r>
      <w:r>
        <w:rPr>
          <w:rFonts w:ascii="Calibri" w:eastAsia="Times New Roman" w:hAnsi="Calibri" w:cs="Calibri"/>
          <w:color w:val="FF0000"/>
          <w:sz w:val="26"/>
          <w:szCs w:val="26"/>
          <w:lang w:bidi="he-IL"/>
        </w:rPr>
        <w:t xml:space="preserve"> does not include any potential new projects. </w:t>
      </w:r>
    </w:p>
    <w:p w14:paraId="3F778D80" w14:textId="77777777" w:rsidR="001F6CFD" w:rsidRDefault="001F6CFD" w:rsidP="00F33629">
      <w:pPr>
        <w:spacing w:after="0" w:line="240" w:lineRule="auto"/>
        <w:rPr>
          <w:rFonts w:ascii="Calibri" w:eastAsia="Times New Roman" w:hAnsi="Calibri" w:cs="Calibri"/>
          <w:color w:val="FF0000"/>
          <w:sz w:val="26"/>
          <w:szCs w:val="26"/>
          <w:lang w:bidi="he-IL"/>
        </w:rPr>
      </w:pPr>
    </w:p>
    <w:p w14:paraId="5BDDFE53" w14:textId="77777777" w:rsidR="001F6CFD" w:rsidRPr="00F33629" w:rsidRDefault="001F6CFD" w:rsidP="00F33629">
      <w:pPr>
        <w:spacing w:after="0" w:line="240" w:lineRule="auto"/>
        <w:rPr>
          <w:rFonts w:ascii="Calibri" w:eastAsia="Times New Roman" w:hAnsi="Calibri" w:cs="Calibri"/>
          <w:color w:val="FF0000"/>
          <w:sz w:val="26"/>
          <w:szCs w:val="26"/>
          <w:lang w:bidi="he-IL"/>
        </w:rPr>
      </w:pPr>
    </w:p>
    <w:p w14:paraId="1BA95488" w14:textId="58CE8A9B" w:rsidR="0038231A" w:rsidRPr="0038231A" w:rsidRDefault="0038231A" w:rsidP="0038231A">
      <w:pPr>
        <w:pStyle w:val="ListParagraph"/>
        <w:numPr>
          <w:ilvl w:val="0"/>
          <w:numId w:val="1"/>
        </w:numPr>
        <w:spacing w:after="0" w:line="240" w:lineRule="auto"/>
        <w:rPr>
          <w:rFonts w:ascii="Calibri" w:eastAsia="Times New Roman" w:hAnsi="Calibri" w:cs="Calibri"/>
          <w:b/>
          <w:bCs/>
          <w:color w:val="1C3158"/>
          <w:sz w:val="26"/>
          <w:szCs w:val="26"/>
          <w:lang w:bidi="he-IL"/>
        </w:rPr>
      </w:pPr>
      <w:r w:rsidRPr="0038231A">
        <w:rPr>
          <w:rFonts w:ascii="Calibri" w:eastAsia="Times New Roman" w:hAnsi="Calibri" w:cs="Calibri"/>
          <w:b/>
          <w:bCs/>
          <w:color w:val="1C3158"/>
          <w:sz w:val="26"/>
          <w:szCs w:val="26"/>
          <w:lang w:bidi="he-IL"/>
        </w:rPr>
        <w:t>WMAP Project Updates</w:t>
      </w:r>
    </w:p>
    <w:p w14:paraId="79CDAB17" w14:textId="05EEA5A3" w:rsidR="00C92867" w:rsidRPr="00C92867" w:rsidRDefault="00C92867" w:rsidP="0038231A">
      <w:pPr>
        <w:pStyle w:val="ListParagraph"/>
        <w:numPr>
          <w:ilvl w:val="1"/>
          <w:numId w:val="1"/>
        </w:numPr>
        <w:spacing w:after="0" w:line="240" w:lineRule="auto"/>
        <w:rPr>
          <w:rFonts w:ascii="Calibri" w:eastAsia="Times New Roman" w:hAnsi="Calibri" w:cs="Calibri"/>
          <w:color w:val="00B050"/>
          <w:sz w:val="26"/>
          <w:szCs w:val="26"/>
          <w:lang w:bidi="he-IL"/>
        </w:rPr>
      </w:pPr>
      <w:r w:rsidRPr="00C92867">
        <w:rPr>
          <w:rFonts w:ascii="Calibri" w:eastAsia="Times New Roman" w:hAnsi="Calibri" w:cs="Calibri"/>
          <w:color w:val="00B050"/>
          <w:sz w:val="26"/>
          <w:szCs w:val="26"/>
          <w:lang w:bidi="he-IL"/>
        </w:rPr>
        <w:t xml:space="preserve">Contract </w:t>
      </w:r>
      <w:r w:rsidR="001F6CFD">
        <w:rPr>
          <w:rFonts w:ascii="Calibri" w:eastAsia="Times New Roman" w:hAnsi="Calibri" w:cs="Calibri"/>
          <w:color w:val="00B050"/>
          <w:sz w:val="26"/>
          <w:szCs w:val="26"/>
          <w:lang w:bidi="he-IL"/>
        </w:rPr>
        <w:t>202</w:t>
      </w:r>
      <w:r w:rsidR="003847FE">
        <w:rPr>
          <w:rFonts w:ascii="Calibri" w:eastAsia="Times New Roman" w:hAnsi="Calibri" w:cs="Calibri"/>
          <w:color w:val="00B050"/>
          <w:sz w:val="26"/>
          <w:szCs w:val="26"/>
          <w:lang w:bidi="he-IL"/>
        </w:rPr>
        <w:t>1</w:t>
      </w:r>
      <w:r w:rsidR="001F6CFD">
        <w:rPr>
          <w:rFonts w:ascii="Calibri" w:eastAsia="Times New Roman" w:hAnsi="Calibri" w:cs="Calibri"/>
          <w:color w:val="00B050"/>
          <w:sz w:val="26"/>
          <w:szCs w:val="26"/>
          <w:lang w:bidi="he-IL"/>
        </w:rPr>
        <w:t>-3</w:t>
      </w:r>
      <w:r w:rsidR="003847FE">
        <w:rPr>
          <w:rFonts w:ascii="Calibri" w:eastAsia="Times New Roman" w:hAnsi="Calibri" w:cs="Calibri"/>
          <w:color w:val="00B050"/>
          <w:sz w:val="26"/>
          <w:szCs w:val="26"/>
          <w:lang w:bidi="he-IL"/>
        </w:rPr>
        <w:t>144</w:t>
      </w:r>
      <w:r w:rsidRPr="00C92867">
        <w:rPr>
          <w:rFonts w:ascii="Calibri" w:eastAsia="Times New Roman" w:hAnsi="Calibri" w:cs="Calibri"/>
          <w:color w:val="00B050"/>
          <w:sz w:val="26"/>
          <w:szCs w:val="26"/>
          <w:lang w:bidi="he-IL"/>
        </w:rPr>
        <w:t xml:space="preserve"> (</w:t>
      </w:r>
      <w:r w:rsidR="001F6CFD">
        <w:rPr>
          <w:rFonts w:ascii="Calibri" w:eastAsia="Times New Roman" w:hAnsi="Calibri" w:cs="Calibri"/>
          <w:color w:val="00B050"/>
          <w:sz w:val="26"/>
          <w:szCs w:val="26"/>
          <w:lang w:bidi="he-IL"/>
        </w:rPr>
        <w:t>NREC)</w:t>
      </w:r>
      <w:r w:rsidRPr="00C92867">
        <w:rPr>
          <w:rFonts w:ascii="Calibri" w:eastAsia="Times New Roman" w:hAnsi="Calibri" w:cs="Calibri"/>
          <w:color w:val="00B050"/>
          <w:sz w:val="26"/>
          <w:szCs w:val="26"/>
          <w:lang w:bidi="he-IL"/>
        </w:rPr>
        <w:t xml:space="preserve"> is requesting renewal of their contract for $</w:t>
      </w:r>
      <w:r w:rsidR="001F6CFD">
        <w:rPr>
          <w:rFonts w:ascii="Calibri" w:eastAsia="Times New Roman" w:hAnsi="Calibri" w:cs="Calibri"/>
          <w:color w:val="00B050"/>
          <w:sz w:val="26"/>
          <w:szCs w:val="26"/>
          <w:lang w:bidi="he-IL"/>
        </w:rPr>
        <w:t>3</w:t>
      </w:r>
      <w:r w:rsidRPr="00C92867">
        <w:rPr>
          <w:rFonts w:ascii="Calibri" w:eastAsia="Times New Roman" w:hAnsi="Calibri" w:cs="Calibri"/>
          <w:color w:val="00B050"/>
          <w:sz w:val="26"/>
          <w:szCs w:val="26"/>
          <w:lang w:bidi="he-IL"/>
        </w:rPr>
        <w:t xml:space="preserve">0,000 for a term of </w:t>
      </w:r>
      <w:r w:rsidR="001F6CFD">
        <w:rPr>
          <w:rFonts w:ascii="Calibri" w:eastAsia="Times New Roman" w:hAnsi="Calibri" w:cs="Calibri"/>
          <w:color w:val="00B050"/>
          <w:sz w:val="26"/>
          <w:szCs w:val="26"/>
          <w:lang w:bidi="he-IL"/>
        </w:rPr>
        <w:t>1</w:t>
      </w:r>
      <w:r w:rsidRPr="00C92867">
        <w:rPr>
          <w:rFonts w:ascii="Calibri" w:eastAsia="Times New Roman" w:hAnsi="Calibri" w:cs="Calibri"/>
          <w:color w:val="00B050"/>
          <w:sz w:val="26"/>
          <w:szCs w:val="26"/>
          <w:lang w:bidi="he-IL"/>
        </w:rPr>
        <w:t xml:space="preserve"> year. </w:t>
      </w:r>
    </w:p>
    <w:p w14:paraId="35A94A1B" w14:textId="3CB20150" w:rsidR="00C92867" w:rsidRDefault="00C92867" w:rsidP="00C92867">
      <w:pPr>
        <w:pStyle w:val="ListParagraph"/>
        <w:numPr>
          <w:ilvl w:val="2"/>
          <w:numId w:val="1"/>
        </w:numPr>
        <w:spacing w:after="0" w:line="240" w:lineRule="auto"/>
        <w:rPr>
          <w:rFonts w:ascii="Calibri" w:eastAsia="Times New Roman" w:hAnsi="Calibri" w:cs="Calibri"/>
          <w:color w:val="00B050"/>
          <w:sz w:val="26"/>
          <w:szCs w:val="26"/>
          <w:lang w:bidi="he-IL"/>
        </w:rPr>
      </w:pPr>
      <w:r w:rsidRPr="007012D0">
        <w:rPr>
          <w:rFonts w:ascii="Calibri" w:eastAsia="Times New Roman" w:hAnsi="Calibri" w:cs="Calibri"/>
          <w:color w:val="00B050"/>
          <w:sz w:val="26"/>
          <w:szCs w:val="26"/>
          <w:lang w:bidi="he-IL"/>
        </w:rPr>
        <w:t>Attached is the Scope of Work for your review</w:t>
      </w:r>
    </w:p>
    <w:p w14:paraId="0810D43E" w14:textId="77777777" w:rsidR="001F6CFD" w:rsidRPr="001F6CFD" w:rsidRDefault="001F6CFD" w:rsidP="001F6CFD">
      <w:pPr>
        <w:spacing w:after="0" w:line="240" w:lineRule="auto"/>
        <w:rPr>
          <w:rFonts w:ascii="Calibri" w:eastAsia="Times New Roman" w:hAnsi="Calibri" w:cs="Calibri"/>
          <w:color w:val="00B050"/>
          <w:sz w:val="26"/>
          <w:szCs w:val="26"/>
          <w:lang w:bidi="he-IL"/>
        </w:rPr>
      </w:pPr>
    </w:p>
    <w:p w14:paraId="2842F070" w14:textId="16D6339E" w:rsidR="00B54C99" w:rsidRPr="00B54C99" w:rsidRDefault="00B54C99" w:rsidP="00B54C99">
      <w:pPr>
        <w:pStyle w:val="ListParagraph"/>
        <w:numPr>
          <w:ilvl w:val="0"/>
          <w:numId w:val="1"/>
        </w:numPr>
        <w:spacing w:after="0" w:line="240" w:lineRule="auto"/>
        <w:rPr>
          <w:rFonts w:ascii="Calibri" w:eastAsia="Times New Roman" w:hAnsi="Calibri" w:cs="Calibri"/>
          <w:b/>
          <w:bCs/>
          <w:color w:val="1C3158"/>
          <w:sz w:val="26"/>
          <w:szCs w:val="26"/>
          <w:lang w:bidi="he-IL"/>
        </w:rPr>
      </w:pPr>
      <w:r w:rsidRPr="00B54C99">
        <w:rPr>
          <w:rFonts w:ascii="Calibri" w:eastAsia="Times New Roman" w:hAnsi="Calibri" w:cs="Calibri"/>
          <w:b/>
          <w:bCs/>
          <w:color w:val="1C3158"/>
          <w:sz w:val="26"/>
          <w:szCs w:val="26"/>
          <w:lang w:bidi="he-IL"/>
        </w:rPr>
        <w:t>Groundwater Conservation Grant Project</w:t>
      </w:r>
      <w:r w:rsidR="007B5BE8">
        <w:rPr>
          <w:rFonts w:ascii="Calibri" w:eastAsia="Times New Roman" w:hAnsi="Calibri" w:cs="Calibri"/>
          <w:b/>
          <w:bCs/>
          <w:color w:val="1C3158"/>
          <w:sz w:val="26"/>
          <w:szCs w:val="26"/>
          <w:lang w:bidi="he-IL"/>
        </w:rPr>
        <w:t xml:space="preserve"> Updates</w:t>
      </w:r>
    </w:p>
    <w:p w14:paraId="099ACDA6" w14:textId="4314C8A1" w:rsidR="00B54C99" w:rsidRPr="00B54C99" w:rsidRDefault="00B54C99" w:rsidP="00B54C99">
      <w:pPr>
        <w:pStyle w:val="ListParagraph"/>
        <w:numPr>
          <w:ilvl w:val="1"/>
          <w:numId w:val="1"/>
        </w:numPr>
        <w:spacing w:after="0" w:line="240" w:lineRule="auto"/>
        <w:rPr>
          <w:rFonts w:ascii="Calibri" w:eastAsia="Times New Roman" w:hAnsi="Calibri" w:cs="Calibri"/>
          <w:color w:val="1C3158"/>
          <w:sz w:val="26"/>
          <w:szCs w:val="26"/>
          <w:lang w:bidi="he-IL"/>
        </w:rPr>
      </w:pPr>
      <w:r w:rsidRPr="00B54C99">
        <w:rPr>
          <w:rFonts w:ascii="Calibri" w:eastAsia="Times New Roman" w:hAnsi="Calibri" w:cs="Calibri"/>
          <w:color w:val="1C3158"/>
          <w:sz w:val="26"/>
          <w:szCs w:val="26"/>
          <w:lang w:bidi="he-IL"/>
        </w:rPr>
        <w:t>Contract 2020-3</w:t>
      </w:r>
      <w:r w:rsidR="001F6CFD">
        <w:rPr>
          <w:rFonts w:ascii="Calibri" w:eastAsia="Times New Roman" w:hAnsi="Calibri" w:cs="Calibri"/>
          <w:color w:val="1C3158"/>
          <w:sz w:val="26"/>
          <w:szCs w:val="26"/>
          <w:lang w:bidi="he-IL"/>
        </w:rPr>
        <w:t>12</w:t>
      </w:r>
      <w:r w:rsidR="00F32640">
        <w:rPr>
          <w:rFonts w:ascii="Calibri" w:eastAsia="Times New Roman" w:hAnsi="Calibri" w:cs="Calibri"/>
          <w:color w:val="1C3158"/>
          <w:sz w:val="26"/>
          <w:szCs w:val="26"/>
          <w:lang w:bidi="he-IL"/>
        </w:rPr>
        <w:t>4</w:t>
      </w:r>
      <w:r w:rsidR="003847FE">
        <w:rPr>
          <w:rFonts w:ascii="Calibri" w:eastAsia="Times New Roman" w:hAnsi="Calibri" w:cs="Calibri"/>
          <w:color w:val="1C3158"/>
          <w:sz w:val="26"/>
          <w:szCs w:val="26"/>
          <w:lang w:bidi="he-IL"/>
        </w:rPr>
        <w:t xml:space="preserve"> (APW)</w:t>
      </w:r>
      <w:r w:rsidRPr="00B54C99">
        <w:rPr>
          <w:rFonts w:ascii="Calibri" w:eastAsia="Times New Roman" w:hAnsi="Calibri" w:cs="Calibri"/>
          <w:color w:val="1C3158"/>
          <w:sz w:val="26"/>
          <w:szCs w:val="26"/>
          <w:lang w:bidi="he-IL"/>
        </w:rPr>
        <w:t xml:space="preserve"> has submitted </w:t>
      </w:r>
      <w:r w:rsidR="001F6CFD">
        <w:rPr>
          <w:rFonts w:ascii="Calibri" w:eastAsia="Times New Roman" w:hAnsi="Calibri" w:cs="Calibri"/>
          <w:color w:val="1C3158"/>
          <w:sz w:val="26"/>
          <w:szCs w:val="26"/>
          <w:lang w:bidi="he-IL"/>
        </w:rPr>
        <w:t>3</w:t>
      </w:r>
      <w:r w:rsidRPr="00B54C99">
        <w:rPr>
          <w:rFonts w:ascii="Calibri" w:eastAsia="Times New Roman" w:hAnsi="Calibri" w:cs="Calibri"/>
          <w:color w:val="1C3158"/>
          <w:sz w:val="26"/>
          <w:szCs w:val="26"/>
          <w:lang w:bidi="he-IL"/>
        </w:rPr>
        <w:t>/</w:t>
      </w:r>
      <w:r w:rsidR="001F6CFD">
        <w:rPr>
          <w:rFonts w:ascii="Calibri" w:eastAsia="Times New Roman" w:hAnsi="Calibri" w:cs="Calibri"/>
          <w:color w:val="1C3158"/>
          <w:sz w:val="26"/>
          <w:szCs w:val="26"/>
          <w:lang w:bidi="he-IL"/>
        </w:rPr>
        <w:t>7</w:t>
      </w:r>
      <w:r w:rsidRPr="00B54C99">
        <w:rPr>
          <w:rFonts w:ascii="Calibri" w:eastAsia="Times New Roman" w:hAnsi="Calibri" w:cs="Calibri"/>
          <w:color w:val="1C3158"/>
          <w:sz w:val="26"/>
          <w:szCs w:val="26"/>
          <w:lang w:bidi="he-IL"/>
        </w:rPr>
        <w:t xml:space="preserve"> deliverables, the most recent being </w:t>
      </w:r>
      <w:r w:rsidR="00D37645">
        <w:rPr>
          <w:rFonts w:ascii="Calibri" w:eastAsia="Times New Roman" w:hAnsi="Calibri" w:cs="Calibri"/>
          <w:color w:val="1C3158"/>
          <w:sz w:val="26"/>
          <w:szCs w:val="26"/>
          <w:lang w:bidi="he-IL"/>
        </w:rPr>
        <w:t>the first implementation of the 3-part GEC Program for at least 3 schools.</w:t>
      </w:r>
    </w:p>
    <w:p w14:paraId="730A2B24" w14:textId="6728A77B" w:rsidR="00B54C99" w:rsidRDefault="00B54C99" w:rsidP="00B54C99">
      <w:pPr>
        <w:pStyle w:val="ListParagraph"/>
        <w:numPr>
          <w:ilvl w:val="1"/>
          <w:numId w:val="1"/>
        </w:numPr>
        <w:spacing w:after="0" w:line="240" w:lineRule="auto"/>
        <w:rPr>
          <w:rFonts w:ascii="Calibri" w:eastAsia="Times New Roman" w:hAnsi="Calibri" w:cs="Calibri"/>
          <w:color w:val="1C3158"/>
          <w:sz w:val="26"/>
          <w:szCs w:val="26"/>
          <w:lang w:bidi="he-IL"/>
        </w:rPr>
      </w:pPr>
      <w:r w:rsidRPr="00B54C99">
        <w:rPr>
          <w:rFonts w:ascii="Calibri" w:eastAsia="Times New Roman" w:hAnsi="Calibri" w:cs="Calibri"/>
          <w:color w:val="1C3158"/>
          <w:sz w:val="26"/>
          <w:szCs w:val="26"/>
          <w:lang w:bidi="he-IL"/>
        </w:rPr>
        <w:lastRenderedPageBreak/>
        <w:t xml:space="preserve">Contract </w:t>
      </w:r>
      <w:r>
        <w:rPr>
          <w:rFonts w:ascii="Calibri" w:eastAsia="Times New Roman" w:hAnsi="Calibri" w:cs="Calibri"/>
          <w:color w:val="1C3158"/>
          <w:sz w:val="26"/>
          <w:szCs w:val="26"/>
          <w:lang w:bidi="he-IL"/>
        </w:rPr>
        <w:t>2020-3</w:t>
      </w:r>
      <w:r w:rsidR="001F6CFD">
        <w:rPr>
          <w:rFonts w:ascii="Calibri" w:eastAsia="Times New Roman" w:hAnsi="Calibri" w:cs="Calibri"/>
          <w:color w:val="1C3158"/>
          <w:sz w:val="26"/>
          <w:szCs w:val="26"/>
          <w:lang w:bidi="he-IL"/>
        </w:rPr>
        <w:t>126</w:t>
      </w:r>
      <w:r w:rsidR="003847FE">
        <w:rPr>
          <w:rFonts w:ascii="Calibri" w:eastAsia="Times New Roman" w:hAnsi="Calibri" w:cs="Calibri"/>
          <w:color w:val="1C3158"/>
          <w:sz w:val="26"/>
          <w:szCs w:val="26"/>
          <w:lang w:bidi="he-IL"/>
        </w:rPr>
        <w:t xml:space="preserve"> (AWC)</w:t>
      </w:r>
      <w:r>
        <w:rPr>
          <w:rFonts w:ascii="Calibri" w:eastAsia="Times New Roman" w:hAnsi="Calibri" w:cs="Calibri"/>
          <w:color w:val="1C3158"/>
          <w:sz w:val="26"/>
          <w:szCs w:val="26"/>
          <w:lang w:bidi="he-IL"/>
        </w:rPr>
        <w:t xml:space="preserve"> has</w:t>
      </w:r>
      <w:r w:rsidR="001F6CFD">
        <w:rPr>
          <w:rFonts w:ascii="Calibri" w:eastAsia="Times New Roman" w:hAnsi="Calibri" w:cs="Calibri"/>
          <w:color w:val="1C3158"/>
          <w:sz w:val="26"/>
          <w:szCs w:val="26"/>
          <w:lang w:bidi="he-IL"/>
        </w:rPr>
        <w:t xml:space="preserve"> not submitted any deliverables. They are currently in the process of amending their contract to accommodate the increase of funds. </w:t>
      </w:r>
    </w:p>
    <w:p w14:paraId="743DF404" w14:textId="53932FD3" w:rsidR="001F6CFD" w:rsidRPr="003847FE" w:rsidRDefault="001F6CFD" w:rsidP="001F6CFD">
      <w:pPr>
        <w:pStyle w:val="ListParagraph"/>
        <w:numPr>
          <w:ilvl w:val="2"/>
          <w:numId w:val="1"/>
        </w:numPr>
        <w:spacing w:after="0" w:line="240" w:lineRule="auto"/>
        <w:rPr>
          <w:rFonts w:ascii="Calibri" w:eastAsia="Times New Roman" w:hAnsi="Calibri" w:cs="Calibri"/>
          <w:color w:val="00B050"/>
          <w:sz w:val="26"/>
          <w:szCs w:val="26"/>
          <w:lang w:bidi="he-IL"/>
        </w:rPr>
      </w:pPr>
      <w:r w:rsidRPr="003847FE">
        <w:rPr>
          <w:rFonts w:ascii="Calibri" w:eastAsia="Times New Roman" w:hAnsi="Calibri" w:cs="Calibri"/>
          <w:color w:val="00B050"/>
          <w:sz w:val="26"/>
          <w:szCs w:val="26"/>
          <w:lang w:bidi="he-IL"/>
        </w:rPr>
        <w:t>MSIDD withdrew their application and the $59,000</w:t>
      </w:r>
      <w:r w:rsidR="003847FE" w:rsidRPr="003847FE">
        <w:rPr>
          <w:rFonts w:ascii="Calibri" w:eastAsia="Times New Roman" w:hAnsi="Calibri" w:cs="Calibri"/>
          <w:color w:val="00B050"/>
          <w:sz w:val="26"/>
          <w:szCs w:val="26"/>
          <w:lang w:bidi="he-IL"/>
        </w:rPr>
        <w:t xml:space="preserve"> award</w:t>
      </w:r>
      <w:r w:rsidR="003847FE">
        <w:rPr>
          <w:rFonts w:ascii="Calibri" w:eastAsia="Times New Roman" w:hAnsi="Calibri" w:cs="Calibri"/>
          <w:color w:val="00B050"/>
          <w:sz w:val="26"/>
          <w:szCs w:val="26"/>
          <w:lang w:bidi="he-IL"/>
        </w:rPr>
        <w:t>ed</w:t>
      </w:r>
      <w:r w:rsidR="003847FE" w:rsidRPr="003847FE">
        <w:rPr>
          <w:rFonts w:ascii="Calibri" w:eastAsia="Times New Roman" w:hAnsi="Calibri" w:cs="Calibri"/>
          <w:color w:val="00B050"/>
          <w:sz w:val="26"/>
          <w:szCs w:val="26"/>
          <w:lang w:bidi="he-IL"/>
        </w:rPr>
        <w:t xml:space="preserve"> to them was reallocated to Arizona Water Company because they requested more than they initially received</w:t>
      </w:r>
      <w:r w:rsidR="003847FE">
        <w:rPr>
          <w:rFonts w:ascii="Calibri" w:eastAsia="Times New Roman" w:hAnsi="Calibri" w:cs="Calibri"/>
          <w:color w:val="00B050"/>
          <w:sz w:val="26"/>
          <w:szCs w:val="26"/>
          <w:lang w:bidi="he-IL"/>
        </w:rPr>
        <w:t>.</w:t>
      </w:r>
    </w:p>
    <w:p w14:paraId="490D2FBC" w14:textId="0570450E" w:rsidR="007012D0" w:rsidRPr="007012D0" w:rsidRDefault="007012D0">
      <w:pPr>
        <w:rPr>
          <w:b/>
          <w:bCs/>
          <w:sz w:val="24"/>
          <w:szCs w:val="24"/>
        </w:rPr>
      </w:pPr>
      <w:r w:rsidRPr="007012D0">
        <w:rPr>
          <w:b/>
          <w:bCs/>
          <w:sz w:val="24"/>
          <w:szCs w:val="24"/>
        </w:rPr>
        <w:t>Renewal Request</w:t>
      </w:r>
      <w:r>
        <w:rPr>
          <w:b/>
          <w:bCs/>
          <w:sz w:val="24"/>
          <w:szCs w:val="24"/>
        </w:rPr>
        <w:t xml:space="preserve"> Information</w:t>
      </w:r>
    </w:p>
    <w:p w14:paraId="083162AF" w14:textId="4AD1D178" w:rsidR="007012D0" w:rsidRPr="007012D0" w:rsidRDefault="007012D0">
      <w:pPr>
        <w:rPr>
          <w:sz w:val="24"/>
          <w:szCs w:val="24"/>
          <w:u w:val="single"/>
        </w:rPr>
      </w:pPr>
      <w:r w:rsidRPr="007012D0">
        <w:rPr>
          <w:sz w:val="24"/>
          <w:szCs w:val="24"/>
          <w:u w:val="single"/>
        </w:rPr>
        <w:t xml:space="preserve">Excerpt from </w:t>
      </w:r>
      <w:r w:rsidR="003847FE">
        <w:rPr>
          <w:sz w:val="24"/>
          <w:szCs w:val="24"/>
          <w:u w:val="single"/>
        </w:rPr>
        <w:t>Natural Resources Education Center’s</w:t>
      </w:r>
      <w:r w:rsidRPr="007012D0">
        <w:rPr>
          <w:sz w:val="24"/>
          <w:szCs w:val="24"/>
          <w:u w:val="single"/>
        </w:rPr>
        <w:t xml:space="preserve"> contract </w:t>
      </w:r>
      <w:r w:rsidR="003847FE">
        <w:rPr>
          <w:sz w:val="24"/>
          <w:szCs w:val="24"/>
          <w:u w:val="single"/>
        </w:rPr>
        <w:t>2021-3144</w:t>
      </w:r>
      <w:r w:rsidRPr="007012D0">
        <w:rPr>
          <w:sz w:val="24"/>
          <w:szCs w:val="24"/>
          <w:u w:val="single"/>
        </w:rPr>
        <w:t xml:space="preserve"> ISA: Scope of Services</w:t>
      </w:r>
    </w:p>
    <w:p w14:paraId="1E8E4D7A" w14:textId="77777777" w:rsidR="003847FE" w:rsidRPr="00FE105E" w:rsidRDefault="003847FE" w:rsidP="003847FE">
      <w:pPr>
        <w:widowControl w:val="0"/>
        <w:numPr>
          <w:ilvl w:val="0"/>
          <w:numId w:val="2"/>
        </w:numPr>
        <w:tabs>
          <w:tab w:val="left" w:pos="825"/>
          <w:tab w:val="left" w:pos="1238"/>
          <w:tab w:val="right" w:pos="8668"/>
        </w:tabs>
        <w:spacing w:after="0" w:line="240" w:lineRule="auto"/>
        <w:jc w:val="both"/>
        <w:rPr>
          <w:rFonts w:ascii="Times New Roman" w:hAnsi="Times New Roman"/>
        </w:rPr>
      </w:pPr>
      <w:r w:rsidRPr="00FE105E">
        <w:rPr>
          <w:rFonts w:ascii="Times New Roman" w:hAnsi="Times New Roman"/>
        </w:rPr>
        <w:t>INTRODUCTION:</w:t>
      </w:r>
    </w:p>
    <w:p w14:paraId="543F0C3F" w14:textId="77777777" w:rsidR="003847FE" w:rsidRDefault="003847FE" w:rsidP="003847FE">
      <w:pPr>
        <w:tabs>
          <w:tab w:val="left" w:pos="412"/>
          <w:tab w:val="left" w:pos="825"/>
          <w:tab w:val="left" w:pos="1238"/>
          <w:tab w:val="right" w:pos="8668"/>
        </w:tabs>
        <w:jc w:val="both"/>
        <w:rPr>
          <w:rFonts w:ascii="Times New Roman" w:hAnsi="Times New Roman"/>
        </w:rPr>
      </w:pPr>
    </w:p>
    <w:p w14:paraId="11C5BF4E" w14:textId="77777777" w:rsidR="003847FE" w:rsidRPr="003C1FD4" w:rsidRDefault="003847FE" w:rsidP="003847FE">
      <w:pPr>
        <w:tabs>
          <w:tab w:val="left" w:pos="412"/>
          <w:tab w:val="left" w:pos="825"/>
          <w:tab w:val="left" w:pos="1238"/>
          <w:tab w:val="right" w:pos="8668"/>
        </w:tabs>
        <w:ind w:left="360"/>
        <w:jc w:val="both"/>
        <w:rPr>
          <w:rFonts w:ascii="Times New Roman" w:hAnsi="Times New Roman"/>
        </w:rPr>
      </w:pPr>
      <w:r w:rsidRPr="003C1FD4">
        <w:rPr>
          <w:rFonts w:ascii="Times New Roman" w:hAnsi="Times New Roman"/>
        </w:rPr>
        <w:t xml:space="preserve">The purpose of this agreement is to continue to provide support for the Natural Resource Education Center’s (NREC) educational programs for children and adults about agriculture and water conservation in the Eloy, Florence-Coolidge, and West Pinal Natural Resources Conservation Districts. NREC programs consist of classroom visits on a variety of topics including “Water Out West”, field trips to their interactive site at Central Arizona College, and participation in several community events. The NREC has developed and maintains a variety of curricula, activity stations, take-home activities, an interactive field site, and real-world experiences for learning ‘in the environment’. </w:t>
      </w:r>
    </w:p>
    <w:p w14:paraId="6A48D4D2" w14:textId="77777777" w:rsidR="003847FE" w:rsidRDefault="003847FE" w:rsidP="003847FE">
      <w:pPr>
        <w:tabs>
          <w:tab w:val="left" w:pos="412"/>
          <w:tab w:val="left" w:pos="825"/>
          <w:tab w:val="left" w:pos="1238"/>
          <w:tab w:val="right" w:pos="8668"/>
        </w:tabs>
        <w:jc w:val="both"/>
        <w:rPr>
          <w:rFonts w:ascii="Times New Roman" w:hAnsi="Times New Roman"/>
        </w:rPr>
      </w:pPr>
    </w:p>
    <w:p w14:paraId="0719730E" w14:textId="77777777" w:rsidR="003847FE" w:rsidRDefault="003847FE" w:rsidP="003847FE">
      <w:pPr>
        <w:tabs>
          <w:tab w:val="left" w:pos="412"/>
          <w:tab w:val="left" w:pos="825"/>
          <w:tab w:val="left" w:pos="1238"/>
          <w:tab w:val="right" w:pos="8668"/>
        </w:tabs>
        <w:jc w:val="both"/>
        <w:rPr>
          <w:rFonts w:ascii="Times New Roman" w:hAnsi="Times New Roman"/>
        </w:rPr>
      </w:pPr>
      <w:r w:rsidRPr="00FE105E">
        <w:rPr>
          <w:rFonts w:ascii="Times New Roman" w:hAnsi="Times New Roman"/>
        </w:rPr>
        <w:t>G.</w:t>
      </w:r>
      <w:r w:rsidRPr="00FE105E">
        <w:rPr>
          <w:rFonts w:ascii="Times New Roman" w:hAnsi="Times New Roman"/>
        </w:rPr>
        <w:tab/>
        <w:t>SCOPE OF WORK:</w:t>
      </w:r>
    </w:p>
    <w:p w14:paraId="16B89D57" w14:textId="77777777" w:rsidR="003847FE" w:rsidRDefault="003847FE" w:rsidP="003847FE">
      <w:pPr>
        <w:tabs>
          <w:tab w:val="left" w:pos="412"/>
          <w:tab w:val="left" w:pos="825"/>
          <w:tab w:val="left" w:pos="1238"/>
          <w:tab w:val="right" w:pos="8668"/>
        </w:tabs>
        <w:ind w:left="360"/>
        <w:jc w:val="both"/>
        <w:rPr>
          <w:rFonts w:ascii="Times New Roman" w:hAnsi="Times New Roman"/>
        </w:rPr>
      </w:pPr>
    </w:p>
    <w:p w14:paraId="4B1A3394" w14:textId="4FCA15F1" w:rsidR="003847FE" w:rsidRDefault="003847FE" w:rsidP="003847FE">
      <w:pPr>
        <w:tabs>
          <w:tab w:val="left" w:pos="412"/>
          <w:tab w:val="left" w:pos="825"/>
          <w:tab w:val="left" w:pos="1238"/>
          <w:tab w:val="right" w:pos="8668"/>
        </w:tabs>
        <w:ind w:left="360"/>
        <w:jc w:val="both"/>
        <w:rPr>
          <w:rFonts w:ascii="Times New Roman" w:hAnsi="Times New Roman"/>
        </w:rPr>
      </w:pPr>
      <w:r>
        <w:rPr>
          <w:rFonts w:ascii="Times New Roman" w:hAnsi="Times New Roman"/>
        </w:rPr>
        <w:t>The NREC shall perform the following:</w:t>
      </w:r>
    </w:p>
    <w:p w14:paraId="08D282F2" w14:textId="77777777" w:rsidR="003847FE" w:rsidRDefault="003847FE" w:rsidP="003847FE">
      <w:pPr>
        <w:tabs>
          <w:tab w:val="left" w:pos="412"/>
          <w:tab w:val="left" w:pos="825"/>
          <w:tab w:val="left" w:pos="1238"/>
          <w:tab w:val="right" w:pos="8668"/>
        </w:tabs>
        <w:ind w:left="360"/>
        <w:jc w:val="both"/>
        <w:rPr>
          <w:rFonts w:ascii="Times New Roman" w:hAnsi="Times New Roman"/>
          <w:b/>
        </w:rPr>
      </w:pPr>
      <w:r>
        <w:rPr>
          <w:rFonts w:ascii="Times New Roman" w:hAnsi="Times New Roman"/>
          <w:b/>
        </w:rPr>
        <w:t xml:space="preserve">Task 1: </w:t>
      </w:r>
      <w:r>
        <w:rPr>
          <w:rFonts w:ascii="Times New Roman" w:hAnsi="Times New Roman"/>
        </w:rPr>
        <w:t>Plan and deliver</w:t>
      </w:r>
      <w:r w:rsidRPr="00062AF9">
        <w:rPr>
          <w:rFonts w:ascii="Times New Roman" w:hAnsi="Times New Roman"/>
        </w:rPr>
        <w:t xml:space="preserve"> </w:t>
      </w:r>
      <w:r>
        <w:rPr>
          <w:rFonts w:ascii="Times New Roman" w:hAnsi="Times New Roman"/>
        </w:rPr>
        <w:t xml:space="preserve">classroom activities that are specifically related to water, increasing students’ understanding of the water cycle, water availability in the west, water efficiency and conservation, etc. Activities will be delivered to the Stanfield, Casa Grande, Coolidge, Blackwater Community and Florence school districts. </w:t>
      </w:r>
    </w:p>
    <w:p w14:paraId="0EF63956" w14:textId="77777777" w:rsidR="003847FE" w:rsidRDefault="003847FE" w:rsidP="003847FE">
      <w:pPr>
        <w:tabs>
          <w:tab w:val="left" w:pos="412"/>
          <w:tab w:val="left" w:pos="825"/>
          <w:tab w:val="left" w:pos="1238"/>
          <w:tab w:val="right" w:pos="8668"/>
        </w:tabs>
        <w:ind w:left="360"/>
        <w:jc w:val="both"/>
        <w:rPr>
          <w:rFonts w:ascii="Times New Roman" w:hAnsi="Times New Roman"/>
        </w:rPr>
      </w:pPr>
      <w:r>
        <w:rPr>
          <w:rFonts w:ascii="Times New Roman" w:hAnsi="Times New Roman"/>
          <w:b/>
        </w:rPr>
        <w:t xml:space="preserve">Deliverable: </w:t>
      </w:r>
      <w:r w:rsidRPr="007B0423">
        <w:rPr>
          <w:rFonts w:ascii="Times New Roman" w:hAnsi="Times New Roman"/>
        </w:rPr>
        <w:t>The</w:t>
      </w:r>
      <w:r>
        <w:rPr>
          <w:rFonts w:ascii="Times New Roman" w:hAnsi="Times New Roman"/>
        </w:rPr>
        <w:t xml:space="preserve"> Districts shall include summaries of the water related classroom activities delivered, numbers of participants, locations, and evaluation results in the mid-year and final reports. </w:t>
      </w:r>
    </w:p>
    <w:p w14:paraId="3E69844D" w14:textId="77777777" w:rsidR="003847FE" w:rsidRDefault="003847FE" w:rsidP="003847FE">
      <w:pPr>
        <w:tabs>
          <w:tab w:val="left" w:pos="412"/>
          <w:tab w:val="left" w:pos="825"/>
          <w:tab w:val="left" w:pos="1238"/>
          <w:tab w:val="right" w:pos="8668"/>
        </w:tabs>
        <w:ind w:left="360"/>
        <w:jc w:val="both"/>
        <w:rPr>
          <w:rFonts w:ascii="Times New Roman" w:hAnsi="Times New Roman"/>
          <w:b/>
        </w:rPr>
      </w:pPr>
    </w:p>
    <w:p w14:paraId="4E5C00CD" w14:textId="3C4501F9" w:rsidR="003847FE" w:rsidRDefault="003847FE" w:rsidP="003847FE">
      <w:pPr>
        <w:tabs>
          <w:tab w:val="left" w:pos="412"/>
          <w:tab w:val="left" w:pos="825"/>
          <w:tab w:val="left" w:pos="1238"/>
          <w:tab w:val="right" w:pos="8668"/>
        </w:tabs>
        <w:ind w:left="360"/>
        <w:jc w:val="both"/>
        <w:rPr>
          <w:rFonts w:ascii="Times New Roman" w:hAnsi="Times New Roman"/>
        </w:rPr>
      </w:pPr>
      <w:r w:rsidRPr="00CC1590">
        <w:rPr>
          <w:rFonts w:ascii="Times New Roman" w:hAnsi="Times New Roman"/>
          <w:b/>
        </w:rPr>
        <w:t>Task 2</w:t>
      </w:r>
      <w:r>
        <w:rPr>
          <w:rFonts w:ascii="Times New Roman" w:hAnsi="Times New Roman"/>
        </w:rPr>
        <w:t xml:space="preserve">: Plan and implement water related field days programs. </w:t>
      </w:r>
    </w:p>
    <w:p w14:paraId="3A97880C" w14:textId="77777777" w:rsidR="003847FE" w:rsidRDefault="003847FE" w:rsidP="003847FE">
      <w:pPr>
        <w:tabs>
          <w:tab w:val="left" w:pos="412"/>
          <w:tab w:val="left" w:pos="825"/>
          <w:tab w:val="left" w:pos="1238"/>
          <w:tab w:val="right" w:pos="8668"/>
        </w:tabs>
        <w:ind w:left="360"/>
        <w:jc w:val="both"/>
        <w:rPr>
          <w:rFonts w:ascii="Times New Roman" w:hAnsi="Times New Roman"/>
        </w:rPr>
      </w:pPr>
      <w:r w:rsidRPr="00544FA0">
        <w:rPr>
          <w:rFonts w:ascii="Times New Roman" w:hAnsi="Times New Roman"/>
          <w:b/>
        </w:rPr>
        <w:t>Deliverable</w:t>
      </w:r>
      <w:r>
        <w:rPr>
          <w:rFonts w:ascii="Times New Roman" w:hAnsi="Times New Roman"/>
        </w:rPr>
        <w:t xml:space="preserve">: The Districts shall include summaries of these field days, including number of participants and evaluation results, in the mid-year and final reports. </w:t>
      </w:r>
    </w:p>
    <w:p w14:paraId="624B0A73" w14:textId="77777777" w:rsidR="003847FE" w:rsidRDefault="003847FE" w:rsidP="003847FE">
      <w:pPr>
        <w:tabs>
          <w:tab w:val="left" w:pos="412"/>
          <w:tab w:val="left" w:pos="825"/>
          <w:tab w:val="left" w:pos="1238"/>
          <w:tab w:val="right" w:pos="8668"/>
        </w:tabs>
        <w:ind w:left="360"/>
        <w:jc w:val="both"/>
        <w:rPr>
          <w:rFonts w:ascii="Times New Roman" w:hAnsi="Times New Roman"/>
        </w:rPr>
      </w:pPr>
    </w:p>
    <w:p w14:paraId="73DCD2AA" w14:textId="77777777" w:rsidR="003847FE" w:rsidRDefault="003847FE" w:rsidP="003847FE">
      <w:pPr>
        <w:tabs>
          <w:tab w:val="left" w:pos="412"/>
          <w:tab w:val="left" w:pos="825"/>
          <w:tab w:val="left" w:pos="1238"/>
          <w:tab w:val="right" w:pos="8668"/>
        </w:tabs>
        <w:ind w:left="360"/>
        <w:jc w:val="both"/>
        <w:rPr>
          <w:rFonts w:ascii="Times New Roman" w:hAnsi="Times New Roman"/>
        </w:rPr>
      </w:pPr>
      <w:r w:rsidRPr="00CC1590">
        <w:rPr>
          <w:rFonts w:ascii="Times New Roman" w:hAnsi="Times New Roman"/>
          <w:b/>
        </w:rPr>
        <w:t>Task 3:</w:t>
      </w:r>
      <w:r>
        <w:rPr>
          <w:rFonts w:ascii="Times New Roman" w:hAnsi="Times New Roman"/>
        </w:rPr>
        <w:t xml:space="preserve"> Participate in water related community events.</w:t>
      </w:r>
    </w:p>
    <w:p w14:paraId="798AAB61" w14:textId="2082AA40" w:rsidR="003847FE" w:rsidRDefault="003847FE" w:rsidP="003847FE">
      <w:pPr>
        <w:tabs>
          <w:tab w:val="left" w:pos="412"/>
          <w:tab w:val="left" w:pos="825"/>
          <w:tab w:val="left" w:pos="1238"/>
          <w:tab w:val="right" w:pos="8668"/>
        </w:tabs>
        <w:ind w:left="360"/>
        <w:jc w:val="both"/>
        <w:rPr>
          <w:rFonts w:ascii="Times New Roman" w:hAnsi="Times New Roman"/>
        </w:rPr>
      </w:pPr>
      <w:r w:rsidRPr="003847FE">
        <w:rPr>
          <w:rFonts w:ascii="Times New Roman" w:hAnsi="Times New Roman"/>
          <w:b/>
          <w:bCs/>
        </w:rPr>
        <w:t>Deliverable:</w:t>
      </w:r>
      <w:r>
        <w:rPr>
          <w:rFonts w:ascii="Times New Roman" w:hAnsi="Times New Roman"/>
        </w:rPr>
        <w:t xml:space="preserve"> The Districts shall include summaries of NREC participation in water related community events, including the name, location and date of each event, descriptions of the activities and materials and estimates of the number of people reached in the mid-year and final reports. </w:t>
      </w:r>
    </w:p>
    <w:p w14:paraId="57DDB088" w14:textId="77777777" w:rsidR="003847FE" w:rsidRDefault="003847FE" w:rsidP="003847FE">
      <w:pPr>
        <w:tabs>
          <w:tab w:val="left" w:pos="412"/>
          <w:tab w:val="left" w:pos="825"/>
          <w:tab w:val="left" w:pos="1238"/>
          <w:tab w:val="right" w:pos="8668"/>
        </w:tabs>
        <w:ind w:left="360"/>
        <w:jc w:val="both"/>
        <w:rPr>
          <w:rFonts w:ascii="Times New Roman" w:hAnsi="Times New Roman"/>
        </w:rPr>
      </w:pPr>
    </w:p>
    <w:p w14:paraId="030625D9" w14:textId="0B93B2F4" w:rsidR="007012D0" w:rsidRPr="003847FE" w:rsidRDefault="003847FE" w:rsidP="003847FE">
      <w:pPr>
        <w:tabs>
          <w:tab w:val="left" w:pos="412"/>
          <w:tab w:val="left" w:pos="825"/>
          <w:tab w:val="left" w:pos="1238"/>
          <w:tab w:val="right" w:pos="8668"/>
        </w:tabs>
        <w:ind w:left="360"/>
        <w:jc w:val="both"/>
        <w:rPr>
          <w:rFonts w:ascii="Times New Roman" w:hAnsi="Times New Roman"/>
        </w:rPr>
      </w:pPr>
      <w:r>
        <w:rPr>
          <w:rFonts w:ascii="Times New Roman" w:hAnsi="Times New Roman"/>
        </w:rPr>
        <w:t xml:space="preserve">Note: The Arizona Department of Water Resources (Department) is to be acknowledged in all news releases, brochures, </w:t>
      </w:r>
      <w:proofErr w:type="gramStart"/>
      <w:r>
        <w:rPr>
          <w:rFonts w:ascii="Times New Roman" w:hAnsi="Times New Roman"/>
        </w:rPr>
        <w:t>websites</w:t>
      </w:r>
      <w:proofErr w:type="gramEnd"/>
      <w:r>
        <w:rPr>
          <w:rFonts w:ascii="Times New Roman" w:hAnsi="Times New Roman"/>
        </w:rPr>
        <w:t xml:space="preserve"> or other publicity or print pieces funded by the Department through this agreement by specifying that the project is funded, supported or made possible by funds from the Department. The name of the Department and its logo must appear in a conspicuous location and be large enough to be easily legible. If space is limited, the Department logo alone may be used.</w:t>
      </w:r>
    </w:p>
    <w:sectPr w:rsidR="007012D0" w:rsidRPr="003847FE" w:rsidSect="00974182">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8F7"/>
    <w:multiLevelType w:val="hybridMultilevel"/>
    <w:tmpl w:val="DA2EB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EB52FA"/>
    <w:multiLevelType w:val="singleLevel"/>
    <w:tmpl w:val="FBD4BB1A"/>
    <w:lvl w:ilvl="0">
      <w:start w:val="6"/>
      <w:numFmt w:val="upperLetter"/>
      <w:lvlText w:val="%1."/>
      <w:lvlJc w:val="left"/>
      <w:pPr>
        <w:tabs>
          <w:tab w:val="num" w:pos="420"/>
        </w:tabs>
        <w:ind w:left="420" w:hanging="420"/>
      </w:pPr>
      <w:rPr>
        <w:rFonts w:hint="default"/>
      </w:rPr>
    </w:lvl>
  </w:abstractNum>
  <w:abstractNum w:abstractNumId="2" w15:restartNumberingAfterBreak="0">
    <w:nsid w:val="2F7F49F2"/>
    <w:multiLevelType w:val="hybridMultilevel"/>
    <w:tmpl w:val="FE2EB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771594">
    <w:abstractNumId w:val="2"/>
  </w:num>
  <w:num w:numId="2" w16cid:durableId="77559522">
    <w:abstractNumId w:val="1"/>
  </w:num>
  <w:num w:numId="3" w16cid:durableId="74633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82"/>
    <w:rsid w:val="000B1134"/>
    <w:rsid w:val="000D2992"/>
    <w:rsid w:val="00136AB4"/>
    <w:rsid w:val="001A26F1"/>
    <w:rsid w:val="001C4597"/>
    <w:rsid w:val="001E2146"/>
    <w:rsid w:val="001F321C"/>
    <w:rsid w:val="001F6CFD"/>
    <w:rsid w:val="00293B95"/>
    <w:rsid w:val="002E7E1A"/>
    <w:rsid w:val="003036EC"/>
    <w:rsid w:val="0038231A"/>
    <w:rsid w:val="003847FE"/>
    <w:rsid w:val="004717E8"/>
    <w:rsid w:val="00654A10"/>
    <w:rsid w:val="007012D0"/>
    <w:rsid w:val="007B5BE8"/>
    <w:rsid w:val="008F640B"/>
    <w:rsid w:val="009307C8"/>
    <w:rsid w:val="00974182"/>
    <w:rsid w:val="009B2338"/>
    <w:rsid w:val="00A409F7"/>
    <w:rsid w:val="00A70267"/>
    <w:rsid w:val="00AE5308"/>
    <w:rsid w:val="00B54C99"/>
    <w:rsid w:val="00BE53FD"/>
    <w:rsid w:val="00C159A9"/>
    <w:rsid w:val="00C7002D"/>
    <w:rsid w:val="00C92867"/>
    <w:rsid w:val="00D01163"/>
    <w:rsid w:val="00D31AB8"/>
    <w:rsid w:val="00D37645"/>
    <w:rsid w:val="00D80D22"/>
    <w:rsid w:val="00D810CE"/>
    <w:rsid w:val="00DB1C26"/>
    <w:rsid w:val="00EA4039"/>
    <w:rsid w:val="00EE464F"/>
    <w:rsid w:val="00EF7F09"/>
    <w:rsid w:val="00F32640"/>
    <w:rsid w:val="00F33629"/>
    <w:rsid w:val="00F652C7"/>
    <w:rsid w:val="00F90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544C"/>
  <w15:chartTrackingRefBased/>
  <w15:docId w15:val="{8792E57A-D914-4C9B-A22A-8D1E37D3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31A"/>
    <w:pPr>
      <w:ind w:left="720"/>
      <w:contextualSpacing/>
    </w:pPr>
  </w:style>
  <w:style w:type="character" w:styleId="Hyperlink">
    <w:name w:val="Hyperlink"/>
    <w:rsid w:val="00701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071">
      <w:bodyDiv w:val="1"/>
      <w:marLeft w:val="0"/>
      <w:marRight w:val="0"/>
      <w:marTop w:val="0"/>
      <w:marBottom w:val="0"/>
      <w:divBdr>
        <w:top w:val="none" w:sz="0" w:space="0" w:color="auto"/>
        <w:left w:val="none" w:sz="0" w:space="0" w:color="auto"/>
        <w:bottom w:val="none" w:sz="0" w:space="0" w:color="auto"/>
        <w:right w:val="none" w:sz="0" w:space="0" w:color="auto"/>
      </w:divBdr>
    </w:div>
    <w:div w:id="549269656">
      <w:bodyDiv w:val="1"/>
      <w:marLeft w:val="0"/>
      <w:marRight w:val="0"/>
      <w:marTop w:val="0"/>
      <w:marBottom w:val="0"/>
      <w:divBdr>
        <w:top w:val="none" w:sz="0" w:space="0" w:color="auto"/>
        <w:left w:val="none" w:sz="0" w:space="0" w:color="auto"/>
        <w:bottom w:val="none" w:sz="0" w:space="0" w:color="auto"/>
        <w:right w:val="none" w:sz="0" w:space="0" w:color="auto"/>
      </w:divBdr>
    </w:div>
    <w:div w:id="656766048">
      <w:bodyDiv w:val="1"/>
      <w:marLeft w:val="0"/>
      <w:marRight w:val="0"/>
      <w:marTop w:val="0"/>
      <w:marBottom w:val="0"/>
      <w:divBdr>
        <w:top w:val="none" w:sz="0" w:space="0" w:color="auto"/>
        <w:left w:val="none" w:sz="0" w:space="0" w:color="auto"/>
        <w:bottom w:val="none" w:sz="0" w:space="0" w:color="auto"/>
        <w:right w:val="none" w:sz="0" w:space="0" w:color="auto"/>
      </w:divBdr>
    </w:div>
    <w:div w:id="688482025">
      <w:bodyDiv w:val="1"/>
      <w:marLeft w:val="0"/>
      <w:marRight w:val="0"/>
      <w:marTop w:val="0"/>
      <w:marBottom w:val="0"/>
      <w:divBdr>
        <w:top w:val="none" w:sz="0" w:space="0" w:color="auto"/>
        <w:left w:val="none" w:sz="0" w:space="0" w:color="auto"/>
        <w:bottom w:val="none" w:sz="0" w:space="0" w:color="auto"/>
        <w:right w:val="none" w:sz="0" w:space="0" w:color="auto"/>
      </w:divBdr>
    </w:div>
    <w:div w:id="745881279">
      <w:bodyDiv w:val="1"/>
      <w:marLeft w:val="0"/>
      <w:marRight w:val="0"/>
      <w:marTop w:val="0"/>
      <w:marBottom w:val="0"/>
      <w:divBdr>
        <w:top w:val="none" w:sz="0" w:space="0" w:color="auto"/>
        <w:left w:val="none" w:sz="0" w:space="0" w:color="auto"/>
        <w:bottom w:val="none" w:sz="0" w:space="0" w:color="auto"/>
        <w:right w:val="none" w:sz="0" w:space="0" w:color="auto"/>
      </w:divBdr>
    </w:div>
    <w:div w:id="833912186">
      <w:bodyDiv w:val="1"/>
      <w:marLeft w:val="0"/>
      <w:marRight w:val="0"/>
      <w:marTop w:val="0"/>
      <w:marBottom w:val="0"/>
      <w:divBdr>
        <w:top w:val="none" w:sz="0" w:space="0" w:color="auto"/>
        <w:left w:val="none" w:sz="0" w:space="0" w:color="auto"/>
        <w:bottom w:val="none" w:sz="0" w:space="0" w:color="auto"/>
        <w:right w:val="none" w:sz="0" w:space="0" w:color="auto"/>
      </w:divBdr>
    </w:div>
    <w:div w:id="851601190">
      <w:bodyDiv w:val="1"/>
      <w:marLeft w:val="0"/>
      <w:marRight w:val="0"/>
      <w:marTop w:val="0"/>
      <w:marBottom w:val="0"/>
      <w:divBdr>
        <w:top w:val="none" w:sz="0" w:space="0" w:color="auto"/>
        <w:left w:val="none" w:sz="0" w:space="0" w:color="auto"/>
        <w:bottom w:val="none" w:sz="0" w:space="0" w:color="auto"/>
        <w:right w:val="none" w:sz="0" w:space="0" w:color="auto"/>
      </w:divBdr>
    </w:div>
    <w:div w:id="1139345279">
      <w:bodyDiv w:val="1"/>
      <w:marLeft w:val="0"/>
      <w:marRight w:val="0"/>
      <w:marTop w:val="0"/>
      <w:marBottom w:val="0"/>
      <w:divBdr>
        <w:top w:val="none" w:sz="0" w:space="0" w:color="auto"/>
        <w:left w:val="none" w:sz="0" w:space="0" w:color="auto"/>
        <w:bottom w:val="none" w:sz="0" w:space="0" w:color="auto"/>
        <w:right w:val="none" w:sz="0" w:space="0" w:color="auto"/>
      </w:divBdr>
    </w:div>
    <w:div w:id="1399474387">
      <w:bodyDiv w:val="1"/>
      <w:marLeft w:val="0"/>
      <w:marRight w:val="0"/>
      <w:marTop w:val="0"/>
      <w:marBottom w:val="0"/>
      <w:divBdr>
        <w:top w:val="none" w:sz="0" w:space="0" w:color="auto"/>
        <w:left w:val="none" w:sz="0" w:space="0" w:color="auto"/>
        <w:bottom w:val="none" w:sz="0" w:space="0" w:color="auto"/>
        <w:right w:val="none" w:sz="0" w:space="0" w:color="auto"/>
      </w:divBdr>
    </w:div>
    <w:div w:id="1451246638">
      <w:bodyDiv w:val="1"/>
      <w:marLeft w:val="0"/>
      <w:marRight w:val="0"/>
      <w:marTop w:val="0"/>
      <w:marBottom w:val="0"/>
      <w:divBdr>
        <w:top w:val="none" w:sz="0" w:space="0" w:color="auto"/>
        <w:left w:val="none" w:sz="0" w:space="0" w:color="auto"/>
        <w:bottom w:val="none" w:sz="0" w:space="0" w:color="auto"/>
        <w:right w:val="none" w:sz="0" w:space="0" w:color="auto"/>
      </w:divBdr>
    </w:div>
    <w:div w:id="1623149399">
      <w:bodyDiv w:val="1"/>
      <w:marLeft w:val="0"/>
      <w:marRight w:val="0"/>
      <w:marTop w:val="0"/>
      <w:marBottom w:val="0"/>
      <w:divBdr>
        <w:top w:val="none" w:sz="0" w:space="0" w:color="auto"/>
        <w:left w:val="none" w:sz="0" w:space="0" w:color="auto"/>
        <w:bottom w:val="none" w:sz="0" w:space="0" w:color="auto"/>
        <w:right w:val="none" w:sz="0" w:space="0" w:color="auto"/>
      </w:divBdr>
    </w:div>
    <w:div w:id="16297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fileshare-new\Shared\AMAs\Grants-WMAP\2022_WMAPFundProjec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Pinal</a:t>
            </a:r>
            <a:r>
              <a:rPr lang="en-US" baseline="0"/>
              <a:t> </a:t>
            </a:r>
            <a:r>
              <a:rPr lang="en-US"/>
              <a:t>WMAP Balance</a:t>
            </a:r>
            <a:r>
              <a:rPr lang="en-US" baseline="0"/>
              <a:t> Projection 0.65/AF</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2"/>
          <c:order val="2"/>
          <c:tx>
            <c:strRef>
              <c:f>Pinal!$C$1</c:f>
              <c:strCache>
                <c:ptCount val="1"/>
                <c:pt idx="0">
                  <c:v>WMAP Fee/Yr</c:v>
                </c:pt>
              </c:strCache>
            </c:strRef>
          </c:tx>
          <c:spPr>
            <a:solidFill>
              <a:schemeClr val="accent3"/>
            </a:solidFill>
            <a:ln>
              <a:noFill/>
            </a:ln>
            <a:effectLst/>
          </c:spPr>
          <c:invertIfNegative val="0"/>
          <c:cat>
            <c:numRef>
              <c:f>Pinal!$A$2:$A$15</c:f>
              <c:numCache>
                <c:formatCode>General</c:formatCode>
                <c:ptCount val="14"/>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numCache>
            </c:numRef>
          </c:cat>
          <c:val>
            <c:numRef>
              <c:f>Pinal!$C$2:$C$15</c:f>
              <c:numCache>
                <c:formatCode>"$"#,##0_);[Red]\("$"#,##0\)</c:formatCode>
                <c:ptCount val="14"/>
                <c:pt idx="0">
                  <c:v>335000</c:v>
                </c:pt>
                <c:pt idx="1">
                  <c:v>335000</c:v>
                </c:pt>
                <c:pt idx="2">
                  <c:v>335000</c:v>
                </c:pt>
                <c:pt idx="3">
                  <c:v>335000</c:v>
                </c:pt>
                <c:pt idx="4">
                  <c:v>335000</c:v>
                </c:pt>
                <c:pt idx="5">
                  <c:v>335000</c:v>
                </c:pt>
                <c:pt idx="6">
                  <c:v>335000</c:v>
                </c:pt>
                <c:pt idx="7">
                  <c:v>335000</c:v>
                </c:pt>
                <c:pt idx="8">
                  <c:v>335000</c:v>
                </c:pt>
                <c:pt idx="9">
                  <c:v>335000</c:v>
                </c:pt>
                <c:pt idx="10">
                  <c:v>335000</c:v>
                </c:pt>
                <c:pt idx="11">
                  <c:v>335000</c:v>
                </c:pt>
                <c:pt idx="12">
                  <c:v>335000</c:v>
                </c:pt>
                <c:pt idx="13">
                  <c:v>335000</c:v>
                </c:pt>
              </c:numCache>
            </c:numRef>
          </c:val>
          <c:extLst>
            <c:ext xmlns:c16="http://schemas.microsoft.com/office/drawing/2014/chart" uri="{C3380CC4-5D6E-409C-BE32-E72D297353CC}">
              <c16:uniqueId val="{00000000-5766-466F-A6F0-5D2CB22B8AD7}"/>
            </c:ext>
          </c:extLst>
        </c:ser>
        <c:ser>
          <c:idx val="3"/>
          <c:order val="3"/>
          <c:tx>
            <c:strRef>
              <c:f>Pinal!$D$1</c:f>
              <c:strCache>
                <c:ptCount val="1"/>
                <c:pt idx="0">
                  <c:v>WMAP Legacy Contracts</c:v>
                </c:pt>
              </c:strCache>
            </c:strRef>
          </c:tx>
          <c:spPr>
            <a:solidFill>
              <a:schemeClr val="accent4"/>
            </a:solidFill>
            <a:ln>
              <a:noFill/>
            </a:ln>
            <a:effectLst/>
          </c:spPr>
          <c:invertIfNegative val="0"/>
          <c:cat>
            <c:numRef>
              <c:f>Pinal!$A$2:$A$15</c:f>
              <c:numCache>
                <c:formatCode>General</c:formatCode>
                <c:ptCount val="14"/>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numCache>
            </c:numRef>
          </c:cat>
          <c:val>
            <c:numRef>
              <c:f>Pinal!$D$2:$D$15</c:f>
              <c:numCache>
                <c:formatCode>"$"#,##0_);[Red]\("$"#,##0\)</c:formatCode>
                <c:ptCount val="14"/>
                <c:pt idx="0">
                  <c:v>-350000</c:v>
                </c:pt>
                <c:pt idx="1">
                  <c:v>-350000</c:v>
                </c:pt>
                <c:pt idx="2">
                  <c:v>-350000</c:v>
                </c:pt>
                <c:pt idx="3">
                  <c:v>-350000</c:v>
                </c:pt>
                <c:pt idx="4">
                  <c:v>-350000</c:v>
                </c:pt>
                <c:pt idx="5">
                  <c:v>-350000</c:v>
                </c:pt>
                <c:pt idx="6">
                  <c:v>-350000</c:v>
                </c:pt>
                <c:pt idx="7">
                  <c:v>-350000</c:v>
                </c:pt>
                <c:pt idx="8">
                  <c:v>-350000</c:v>
                </c:pt>
                <c:pt idx="9">
                  <c:v>-350000</c:v>
                </c:pt>
                <c:pt idx="10">
                  <c:v>-350000</c:v>
                </c:pt>
                <c:pt idx="11">
                  <c:v>-350000</c:v>
                </c:pt>
                <c:pt idx="12">
                  <c:v>-350000</c:v>
                </c:pt>
                <c:pt idx="13">
                  <c:v>-350000</c:v>
                </c:pt>
              </c:numCache>
            </c:numRef>
          </c:val>
          <c:extLst>
            <c:ext xmlns:c16="http://schemas.microsoft.com/office/drawing/2014/chart" uri="{C3380CC4-5D6E-409C-BE32-E72D297353CC}">
              <c16:uniqueId val="{00000001-5766-466F-A6F0-5D2CB22B8AD7}"/>
            </c:ext>
          </c:extLst>
        </c:ser>
        <c:dLbls>
          <c:showLegendKey val="0"/>
          <c:showVal val="0"/>
          <c:showCatName val="0"/>
          <c:showSerName val="0"/>
          <c:showPercent val="0"/>
          <c:showBubbleSize val="0"/>
        </c:dLbls>
        <c:gapWidth val="136"/>
        <c:overlap val="100"/>
        <c:axId val="691415816"/>
        <c:axId val="691415488"/>
        <c:extLst>
          <c:ext xmlns:c15="http://schemas.microsoft.com/office/drawing/2012/chart" uri="{02D57815-91ED-43cb-92C2-25804820EDAC}">
            <c15:filteredBarSeries>
              <c15:ser>
                <c:idx val="0"/>
                <c:order val="0"/>
                <c:tx>
                  <c:strRef>
                    <c:extLst>
                      <c:ext uri="{02D57815-91ED-43cb-92C2-25804820EDAC}">
                        <c15:formulaRef>
                          <c15:sqref>Pinal!$A$1</c15:sqref>
                        </c15:formulaRef>
                      </c:ext>
                    </c:extLst>
                    <c:strCache>
                      <c:ptCount val="1"/>
                      <c:pt idx="0">
                        <c:v>Year</c:v>
                      </c:pt>
                    </c:strCache>
                  </c:strRef>
                </c:tx>
                <c:spPr>
                  <a:solidFill>
                    <a:schemeClr val="accent1"/>
                  </a:solidFill>
                  <a:ln>
                    <a:noFill/>
                  </a:ln>
                  <a:effectLst/>
                </c:spPr>
                <c:invertIfNegative val="0"/>
                <c:cat>
                  <c:numRef>
                    <c:extLst>
                      <c:ext uri="{02D57815-91ED-43cb-92C2-25804820EDAC}">
                        <c15:formulaRef>
                          <c15:sqref>Pinal!$A$2:$A$15</c15:sqref>
                        </c15:formulaRef>
                      </c:ext>
                    </c:extLst>
                    <c:numCache>
                      <c:formatCode>General</c:formatCode>
                      <c:ptCount val="14"/>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numCache>
                  </c:numRef>
                </c:cat>
                <c:val>
                  <c:numRef>
                    <c:extLst>
                      <c:ext uri="{02D57815-91ED-43cb-92C2-25804820EDAC}">
                        <c15:formulaRef>
                          <c15:sqref>Pinal!$A$2:$A$15</c15:sqref>
                        </c15:formulaRef>
                      </c:ext>
                    </c:extLst>
                    <c:numCache>
                      <c:formatCode>General</c:formatCode>
                      <c:ptCount val="14"/>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numCache>
                  </c:numRef>
                </c:val>
                <c:extLst>
                  <c:ext xmlns:c16="http://schemas.microsoft.com/office/drawing/2014/chart" uri="{C3380CC4-5D6E-409C-BE32-E72D297353CC}">
                    <c16:uniqueId val="{00000003-5766-466F-A6F0-5D2CB22B8AD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Pinal!$B$1</c15:sqref>
                        </c15:formulaRef>
                      </c:ext>
                    </c:extLst>
                    <c:strCache>
                      <c:ptCount val="1"/>
                      <c:pt idx="0">
                        <c:v>WMAP Fee/AF</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Pinal!$A$2:$A$15</c15:sqref>
                        </c15:formulaRef>
                      </c:ext>
                    </c:extLst>
                    <c:numCache>
                      <c:formatCode>General</c:formatCode>
                      <c:ptCount val="14"/>
                      <c:pt idx="0">
                        <c:v>2022</c:v>
                      </c:pt>
                      <c:pt idx="1">
                        <c:v>2023</c:v>
                      </c:pt>
                      <c:pt idx="2">
                        <c:v>2024</c:v>
                      </c:pt>
                      <c:pt idx="3">
                        <c:v>2025</c:v>
                      </c:pt>
                      <c:pt idx="4">
                        <c:v>2026</c:v>
                      </c:pt>
                      <c:pt idx="5">
                        <c:v>2027</c:v>
                      </c:pt>
                      <c:pt idx="6">
                        <c:v>2028</c:v>
                      </c:pt>
                      <c:pt idx="7">
                        <c:v>2029</c:v>
                      </c:pt>
                      <c:pt idx="8">
                        <c:v>2030</c:v>
                      </c:pt>
                      <c:pt idx="9">
                        <c:v>2031</c:v>
                      </c:pt>
                      <c:pt idx="10">
                        <c:v>2032</c:v>
                      </c:pt>
                      <c:pt idx="11">
                        <c:v>2033</c:v>
                      </c:pt>
                      <c:pt idx="12">
                        <c:v>2034</c:v>
                      </c:pt>
                      <c:pt idx="13">
                        <c:v>2035</c:v>
                      </c:pt>
                    </c:numCache>
                  </c:numRef>
                </c:cat>
                <c:val>
                  <c:numRef>
                    <c:extLst xmlns:c15="http://schemas.microsoft.com/office/drawing/2012/chart">
                      <c:ext xmlns:c15="http://schemas.microsoft.com/office/drawing/2012/chart" uri="{02D57815-91ED-43cb-92C2-25804820EDAC}">
                        <c15:formulaRef>
                          <c15:sqref>Pinal!$B$2:$B$15</c15:sqref>
                        </c15:formulaRef>
                      </c:ext>
                    </c:extLst>
                    <c:numCache>
                      <c:formatCode>General</c:formatCode>
                      <c:ptCount val="14"/>
                      <c:pt idx="0">
                        <c:v>0.65</c:v>
                      </c:pt>
                      <c:pt idx="1">
                        <c:v>0.65</c:v>
                      </c:pt>
                      <c:pt idx="2">
                        <c:v>0.65</c:v>
                      </c:pt>
                      <c:pt idx="3">
                        <c:v>0.65</c:v>
                      </c:pt>
                      <c:pt idx="4">
                        <c:v>0.65</c:v>
                      </c:pt>
                      <c:pt idx="5">
                        <c:v>0.65</c:v>
                      </c:pt>
                      <c:pt idx="6">
                        <c:v>0.65</c:v>
                      </c:pt>
                      <c:pt idx="7">
                        <c:v>0.65</c:v>
                      </c:pt>
                      <c:pt idx="8">
                        <c:v>0.65</c:v>
                      </c:pt>
                      <c:pt idx="9">
                        <c:v>0.65</c:v>
                      </c:pt>
                      <c:pt idx="10">
                        <c:v>0.65</c:v>
                      </c:pt>
                      <c:pt idx="11">
                        <c:v>0.65</c:v>
                      </c:pt>
                      <c:pt idx="12">
                        <c:v>0.65</c:v>
                      </c:pt>
                      <c:pt idx="13">
                        <c:v>0.65</c:v>
                      </c:pt>
                    </c:numCache>
                  </c:numRef>
                </c:val>
                <c:extLst xmlns:c15="http://schemas.microsoft.com/office/drawing/2012/chart">
                  <c:ext xmlns:c16="http://schemas.microsoft.com/office/drawing/2014/chart" uri="{C3380CC4-5D6E-409C-BE32-E72D297353CC}">
                    <c16:uniqueId val="{00000004-5766-466F-A6F0-5D2CB22B8AD7}"/>
                  </c:ext>
                </c:extLst>
              </c15:ser>
            </c15:filteredBarSeries>
          </c:ext>
        </c:extLst>
      </c:barChart>
      <c:lineChart>
        <c:grouping val="standard"/>
        <c:varyColors val="0"/>
        <c:ser>
          <c:idx val="4"/>
          <c:order val="4"/>
          <c:tx>
            <c:strRef>
              <c:f>Pinal!$E$1</c:f>
              <c:strCache>
                <c:ptCount val="1"/>
                <c:pt idx="0">
                  <c:v>WMAP Balance</c:v>
                </c:pt>
              </c:strCache>
            </c:strRef>
          </c:tx>
          <c:spPr>
            <a:ln w="28575" cap="rnd">
              <a:solidFill>
                <a:schemeClr val="accent5"/>
              </a:solidFill>
              <a:round/>
            </a:ln>
            <a:effectLst/>
          </c:spPr>
          <c:marker>
            <c:symbol val="none"/>
          </c:marker>
          <c:val>
            <c:numRef>
              <c:f>Pinal!$E$2:$E$15</c:f>
              <c:numCache>
                <c:formatCode>"$"#,##0_);[Red]\("$"#,##0\)</c:formatCode>
                <c:ptCount val="14"/>
                <c:pt idx="0">
                  <c:v>107259</c:v>
                </c:pt>
                <c:pt idx="1">
                  <c:v>92259</c:v>
                </c:pt>
                <c:pt idx="2">
                  <c:v>77259</c:v>
                </c:pt>
                <c:pt idx="3">
                  <c:v>62259</c:v>
                </c:pt>
                <c:pt idx="4">
                  <c:v>47259</c:v>
                </c:pt>
                <c:pt idx="5">
                  <c:v>32259</c:v>
                </c:pt>
                <c:pt idx="6">
                  <c:v>17259</c:v>
                </c:pt>
                <c:pt idx="7">
                  <c:v>2259</c:v>
                </c:pt>
                <c:pt idx="8">
                  <c:v>-12741</c:v>
                </c:pt>
                <c:pt idx="9">
                  <c:v>-27741</c:v>
                </c:pt>
                <c:pt idx="10">
                  <c:v>-42741</c:v>
                </c:pt>
                <c:pt idx="11">
                  <c:v>-57741</c:v>
                </c:pt>
                <c:pt idx="12">
                  <c:v>-72741</c:v>
                </c:pt>
                <c:pt idx="13">
                  <c:v>-87741</c:v>
                </c:pt>
              </c:numCache>
            </c:numRef>
          </c:val>
          <c:smooth val="0"/>
          <c:extLst>
            <c:ext xmlns:c16="http://schemas.microsoft.com/office/drawing/2014/chart" uri="{C3380CC4-5D6E-409C-BE32-E72D297353CC}">
              <c16:uniqueId val="{00000002-5766-466F-A6F0-5D2CB22B8AD7}"/>
            </c:ext>
          </c:extLst>
        </c:ser>
        <c:dLbls>
          <c:showLegendKey val="0"/>
          <c:showVal val="0"/>
          <c:showCatName val="0"/>
          <c:showSerName val="0"/>
          <c:showPercent val="0"/>
          <c:showBubbleSize val="0"/>
        </c:dLbls>
        <c:marker val="1"/>
        <c:smooth val="0"/>
        <c:axId val="691415816"/>
        <c:axId val="691415488"/>
      </c:lineChart>
      <c:catAx>
        <c:axId val="69141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488"/>
        <c:crosses val="autoZero"/>
        <c:auto val="1"/>
        <c:lblAlgn val="ctr"/>
        <c:lblOffset val="100"/>
        <c:noMultiLvlLbl val="0"/>
      </c:catAx>
      <c:valAx>
        <c:axId val="69141548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415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3</Pages>
  <Words>937</Words>
  <Characters>5195</Characters>
  <Application>Microsoft Office Word</Application>
  <DocSecurity>0</DocSecurity>
  <Lines>346</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Sikes</dc:creator>
  <cp:keywords/>
  <dc:description/>
  <cp:lastModifiedBy>Melissa Sikes</cp:lastModifiedBy>
  <cp:revision>21</cp:revision>
  <dcterms:created xsi:type="dcterms:W3CDTF">2022-08-03T22:32:00Z</dcterms:created>
  <dcterms:modified xsi:type="dcterms:W3CDTF">2022-09-13T20:49:00Z</dcterms:modified>
</cp:coreProperties>
</file>