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B9DF" w14:textId="77777777" w:rsidR="00974182" w:rsidRPr="00663B53" w:rsidRDefault="00974182" w:rsidP="00974182">
      <w:pPr>
        <w:spacing w:before="240" w:after="0" w:line="240" w:lineRule="auto"/>
        <w:jc w:val="center"/>
        <w:rPr>
          <w:rFonts w:ascii="Calibri" w:eastAsia="Times New Roman" w:hAnsi="Calibri" w:cs="Calibri"/>
          <w:b/>
          <w:bCs/>
          <w:color w:val="1F3864" w:themeColor="accent1" w:themeShade="80"/>
          <w:sz w:val="34"/>
          <w:szCs w:val="34"/>
          <w:lang w:bidi="he-IL"/>
        </w:rPr>
      </w:pPr>
      <w:r w:rsidRPr="00663B53">
        <w:rPr>
          <w:rFonts w:ascii="Calibri" w:eastAsia="Times New Roman" w:hAnsi="Calibri" w:cs="Calibri"/>
          <w:b/>
          <w:bCs/>
          <w:color w:val="1F3864" w:themeColor="accent1" w:themeShade="80"/>
          <w:sz w:val="34"/>
          <w:szCs w:val="34"/>
          <w:lang w:bidi="he-IL"/>
        </w:rPr>
        <w:t>Water Management Assistance Program Fund</w:t>
      </w:r>
    </w:p>
    <w:p w14:paraId="335856EF" w14:textId="38B82644" w:rsidR="00974182" w:rsidRPr="002248F4" w:rsidRDefault="00974182" w:rsidP="00974182">
      <w:pPr>
        <w:spacing w:after="0" w:line="240" w:lineRule="auto"/>
        <w:jc w:val="center"/>
        <w:rPr>
          <w:b/>
          <w:bCs/>
          <w:sz w:val="26"/>
          <w:szCs w:val="26"/>
        </w:rPr>
      </w:pPr>
      <w:r w:rsidRPr="002248F4">
        <w:rPr>
          <w:b/>
          <w:bCs/>
          <w:sz w:val="26"/>
          <w:szCs w:val="26"/>
        </w:rPr>
        <w:t>Current Balance: $</w:t>
      </w:r>
      <w:r w:rsidR="001E2146">
        <w:rPr>
          <w:b/>
          <w:bCs/>
          <w:sz w:val="26"/>
          <w:szCs w:val="26"/>
        </w:rPr>
        <w:t>706,633</w:t>
      </w:r>
    </w:p>
    <w:p w14:paraId="5F0BEE22" w14:textId="71A96638" w:rsidR="00974182" w:rsidRPr="00277DD9" w:rsidRDefault="00974182" w:rsidP="00974182">
      <w:pPr>
        <w:spacing w:after="0" w:line="240" w:lineRule="auto"/>
        <w:jc w:val="center"/>
        <w:rPr>
          <w:sz w:val="26"/>
          <w:szCs w:val="26"/>
        </w:rPr>
      </w:pPr>
      <w:r>
        <w:rPr>
          <w:sz w:val="26"/>
          <w:szCs w:val="26"/>
        </w:rPr>
        <w:t>Encumbered/committed</w:t>
      </w:r>
      <w:r w:rsidRPr="00277DD9">
        <w:rPr>
          <w:sz w:val="26"/>
          <w:szCs w:val="26"/>
        </w:rPr>
        <w:t>:  $</w:t>
      </w:r>
      <w:r w:rsidR="001E2146">
        <w:rPr>
          <w:sz w:val="26"/>
          <w:szCs w:val="26"/>
        </w:rPr>
        <w:t>381,820</w:t>
      </w:r>
    </w:p>
    <w:p w14:paraId="67BB69FD" w14:textId="2F15F83E" w:rsidR="00974182" w:rsidRDefault="00974182" w:rsidP="00974182">
      <w:pPr>
        <w:spacing w:after="0" w:line="240" w:lineRule="auto"/>
        <w:jc w:val="center"/>
        <w:rPr>
          <w:b/>
          <w:sz w:val="26"/>
          <w:szCs w:val="26"/>
        </w:rPr>
      </w:pPr>
      <w:r>
        <w:rPr>
          <w:b/>
          <w:sz w:val="26"/>
          <w:szCs w:val="26"/>
        </w:rPr>
        <w:t>R</w:t>
      </w:r>
      <w:r w:rsidRPr="00277DD9">
        <w:rPr>
          <w:b/>
          <w:sz w:val="26"/>
          <w:szCs w:val="26"/>
        </w:rPr>
        <w:t>emaining Balance:  $</w:t>
      </w:r>
      <w:r w:rsidR="00D01163">
        <w:rPr>
          <w:b/>
          <w:sz w:val="26"/>
          <w:szCs w:val="26"/>
        </w:rPr>
        <w:t>3</w:t>
      </w:r>
      <w:r w:rsidR="001E2146">
        <w:rPr>
          <w:b/>
          <w:sz w:val="26"/>
          <w:szCs w:val="26"/>
        </w:rPr>
        <w:t>24,813 ($150,000</w:t>
      </w:r>
      <w:r w:rsidR="00C159A9">
        <w:rPr>
          <w:b/>
          <w:sz w:val="26"/>
          <w:szCs w:val="26"/>
        </w:rPr>
        <w:t xml:space="preserve"> less</w:t>
      </w:r>
      <w:r w:rsidR="001E2146">
        <w:rPr>
          <w:b/>
          <w:sz w:val="26"/>
          <w:szCs w:val="26"/>
        </w:rPr>
        <w:t xml:space="preserve"> if APW is renewed, leaving $174,813)</w:t>
      </w:r>
    </w:p>
    <w:p w14:paraId="1BDDEE5F" w14:textId="77777777" w:rsidR="00974182" w:rsidRDefault="00974182" w:rsidP="00974182">
      <w:pPr>
        <w:spacing w:after="0" w:line="240" w:lineRule="auto"/>
        <w:jc w:val="center"/>
        <w:rPr>
          <w:b/>
          <w:sz w:val="26"/>
          <w:szCs w:val="26"/>
        </w:rPr>
      </w:pPr>
    </w:p>
    <w:p w14:paraId="2C0E75B9" w14:textId="494814AF" w:rsidR="00974182" w:rsidRDefault="00974182" w:rsidP="00974182">
      <w:pPr>
        <w:spacing w:after="0" w:line="240" w:lineRule="auto"/>
        <w:jc w:val="center"/>
        <w:rPr>
          <w:b/>
          <w:sz w:val="26"/>
          <w:szCs w:val="26"/>
        </w:rPr>
      </w:pPr>
      <w:r w:rsidRPr="00322DC1">
        <w:rPr>
          <w:b/>
          <w:color w:val="002060"/>
          <w:sz w:val="34"/>
          <w:szCs w:val="34"/>
        </w:rPr>
        <w:t>Water Management Assistance Program</w:t>
      </w:r>
      <w:r>
        <w:rPr>
          <w:b/>
          <w:color w:val="002060"/>
          <w:sz w:val="34"/>
          <w:szCs w:val="34"/>
        </w:rPr>
        <w:t xml:space="preserve"> Project</w:t>
      </w:r>
      <w:r w:rsidR="009B2338">
        <w:rPr>
          <w:b/>
          <w:color w:val="002060"/>
          <w:sz w:val="34"/>
          <w:szCs w:val="34"/>
        </w:rPr>
        <w:t xml:space="preserve"> </w:t>
      </w:r>
    </w:p>
    <w:tbl>
      <w:tblPr>
        <w:tblpPr w:leftFromText="180" w:rightFromText="180" w:vertAnchor="page" w:horzAnchor="margin" w:tblpXSpec="center" w:tblpY="3457"/>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525"/>
        <w:gridCol w:w="3600"/>
        <w:gridCol w:w="1260"/>
        <w:gridCol w:w="1080"/>
        <w:gridCol w:w="1350"/>
        <w:gridCol w:w="1260"/>
      </w:tblGrid>
      <w:tr w:rsidR="00974182" w:rsidRPr="00313C85" w14:paraId="2969D00A" w14:textId="77777777" w:rsidTr="00293B95">
        <w:trPr>
          <w:trHeight w:val="331"/>
        </w:trPr>
        <w:tc>
          <w:tcPr>
            <w:tcW w:w="1525" w:type="dxa"/>
            <w:shd w:val="clear" w:color="auto" w:fill="D9E2F3" w:themeFill="accent1" w:themeFillTint="33"/>
            <w:vAlign w:val="center"/>
          </w:tcPr>
          <w:p w14:paraId="0FAE9888" w14:textId="77777777" w:rsidR="00974182" w:rsidRPr="00802E6A" w:rsidRDefault="00974182" w:rsidP="00974182">
            <w:pPr>
              <w:spacing w:after="0" w:line="240" w:lineRule="auto"/>
              <w:jc w:val="center"/>
              <w:rPr>
                <w:rFonts w:ascii="Calibri" w:eastAsia="Times New Roman" w:hAnsi="Calibri" w:cs="Calibri"/>
                <w:b/>
                <w:bCs/>
                <w:lang w:bidi="he-IL"/>
              </w:rPr>
            </w:pPr>
            <w:r w:rsidRPr="00802E6A">
              <w:rPr>
                <w:rFonts w:ascii="Calibri" w:eastAsia="Times New Roman" w:hAnsi="Calibri" w:cs="Calibri"/>
                <w:b/>
                <w:bCs/>
                <w:lang w:bidi="he-IL"/>
              </w:rPr>
              <w:t>PROJECT NAME</w:t>
            </w:r>
          </w:p>
        </w:tc>
        <w:tc>
          <w:tcPr>
            <w:tcW w:w="3600" w:type="dxa"/>
            <w:shd w:val="clear" w:color="auto" w:fill="D9E2F3" w:themeFill="accent1" w:themeFillTint="33"/>
            <w:vAlign w:val="center"/>
          </w:tcPr>
          <w:p w14:paraId="381E44F1" w14:textId="77777777" w:rsidR="00974182" w:rsidRPr="00802E6A" w:rsidRDefault="00974182" w:rsidP="00974182">
            <w:pPr>
              <w:spacing w:after="0" w:line="240" w:lineRule="auto"/>
              <w:jc w:val="center"/>
              <w:rPr>
                <w:rFonts w:ascii="Calibri" w:eastAsia="Times New Roman" w:hAnsi="Calibri" w:cs="Calibri"/>
                <w:b/>
                <w:bCs/>
                <w:lang w:bidi="he-IL"/>
              </w:rPr>
            </w:pPr>
            <w:r w:rsidRPr="00802E6A">
              <w:rPr>
                <w:rFonts w:ascii="Calibri" w:eastAsia="Times New Roman" w:hAnsi="Calibri" w:cs="Calibri"/>
                <w:b/>
                <w:bCs/>
                <w:lang w:bidi="he-IL"/>
              </w:rPr>
              <w:t>DESCRIPTION</w:t>
            </w:r>
          </w:p>
        </w:tc>
        <w:tc>
          <w:tcPr>
            <w:tcW w:w="1260" w:type="dxa"/>
            <w:shd w:val="clear" w:color="auto" w:fill="D9E2F3" w:themeFill="accent1" w:themeFillTint="33"/>
          </w:tcPr>
          <w:p w14:paraId="7C47997B" w14:textId="77777777" w:rsidR="00974182" w:rsidRPr="00802E6A" w:rsidRDefault="00974182" w:rsidP="00974182">
            <w:pPr>
              <w:spacing w:after="0" w:line="240" w:lineRule="auto"/>
              <w:jc w:val="center"/>
              <w:rPr>
                <w:rFonts w:ascii="Calibri" w:eastAsia="Times New Roman" w:hAnsi="Calibri" w:cs="Calibri"/>
                <w:b/>
                <w:bCs/>
                <w:lang w:bidi="he-IL"/>
              </w:rPr>
            </w:pPr>
            <w:r w:rsidRPr="00802E6A">
              <w:rPr>
                <w:rFonts w:ascii="Calibri" w:eastAsia="Times New Roman" w:hAnsi="Calibri" w:cs="Calibri"/>
                <w:b/>
                <w:bCs/>
                <w:lang w:bidi="he-IL"/>
              </w:rPr>
              <w:t>CONTRACT NUMBER</w:t>
            </w:r>
          </w:p>
        </w:tc>
        <w:tc>
          <w:tcPr>
            <w:tcW w:w="1080" w:type="dxa"/>
            <w:shd w:val="clear" w:color="auto" w:fill="D9E2F3" w:themeFill="accent1" w:themeFillTint="33"/>
          </w:tcPr>
          <w:p w14:paraId="61D7EBE8" w14:textId="77777777" w:rsidR="00974182" w:rsidRPr="00802E6A" w:rsidRDefault="00974182" w:rsidP="00974182">
            <w:pPr>
              <w:spacing w:after="0" w:line="240" w:lineRule="auto"/>
              <w:jc w:val="center"/>
              <w:rPr>
                <w:rFonts w:ascii="Calibri" w:eastAsia="Times New Roman" w:hAnsi="Calibri" w:cs="Calibri"/>
                <w:b/>
                <w:bCs/>
                <w:lang w:bidi="he-IL"/>
              </w:rPr>
            </w:pPr>
            <w:r>
              <w:rPr>
                <w:rFonts w:ascii="Calibri" w:eastAsia="Times New Roman" w:hAnsi="Calibri" w:cs="Calibri"/>
                <w:b/>
                <w:bCs/>
                <w:lang w:bidi="he-IL"/>
              </w:rPr>
              <w:t>TOTAL FUNDING</w:t>
            </w:r>
          </w:p>
        </w:tc>
        <w:tc>
          <w:tcPr>
            <w:tcW w:w="1350" w:type="dxa"/>
            <w:shd w:val="clear" w:color="auto" w:fill="D9E2F3" w:themeFill="accent1" w:themeFillTint="33"/>
            <w:vAlign w:val="center"/>
          </w:tcPr>
          <w:p w14:paraId="33821699" w14:textId="77777777" w:rsidR="00974182" w:rsidRPr="00802E6A" w:rsidRDefault="00974182" w:rsidP="00974182">
            <w:pPr>
              <w:spacing w:after="0" w:line="240" w:lineRule="auto"/>
              <w:jc w:val="center"/>
              <w:rPr>
                <w:rFonts w:ascii="Calibri" w:eastAsia="Times New Roman" w:hAnsi="Calibri" w:cs="Calibri"/>
                <w:b/>
                <w:bCs/>
                <w:lang w:bidi="he-IL"/>
              </w:rPr>
            </w:pPr>
            <w:r>
              <w:rPr>
                <w:rFonts w:ascii="Calibri" w:eastAsia="Times New Roman" w:hAnsi="Calibri" w:cs="Calibri"/>
                <w:b/>
                <w:bCs/>
                <w:lang w:bidi="he-IL"/>
              </w:rPr>
              <w:t>REMAINING FUNDING</w:t>
            </w:r>
          </w:p>
        </w:tc>
        <w:tc>
          <w:tcPr>
            <w:tcW w:w="1260" w:type="dxa"/>
            <w:shd w:val="clear" w:color="auto" w:fill="D9E2F3" w:themeFill="accent1" w:themeFillTint="33"/>
          </w:tcPr>
          <w:p w14:paraId="20A9B3F7" w14:textId="77777777" w:rsidR="00974182" w:rsidRPr="00802E6A" w:rsidRDefault="00974182" w:rsidP="00974182">
            <w:pPr>
              <w:spacing w:after="0" w:line="240" w:lineRule="auto"/>
              <w:jc w:val="center"/>
              <w:rPr>
                <w:rFonts w:ascii="Calibri" w:eastAsia="Times New Roman" w:hAnsi="Calibri" w:cs="Calibri"/>
                <w:b/>
                <w:bCs/>
                <w:lang w:bidi="he-IL"/>
              </w:rPr>
            </w:pPr>
            <w:r>
              <w:rPr>
                <w:rFonts w:ascii="Calibri" w:eastAsia="Times New Roman" w:hAnsi="Calibri" w:cs="Calibri"/>
                <w:b/>
                <w:bCs/>
                <w:lang w:bidi="he-IL"/>
              </w:rPr>
              <w:t>CONTRACT ENDS</w:t>
            </w:r>
          </w:p>
        </w:tc>
      </w:tr>
      <w:tr w:rsidR="009307C8" w:rsidRPr="00313C85" w14:paraId="4161E674" w14:textId="77777777" w:rsidTr="00293B95">
        <w:trPr>
          <w:trHeight w:val="598"/>
        </w:trPr>
        <w:tc>
          <w:tcPr>
            <w:tcW w:w="1525" w:type="dxa"/>
            <w:shd w:val="clear" w:color="auto" w:fill="auto"/>
            <w:vAlign w:val="center"/>
          </w:tcPr>
          <w:p w14:paraId="5B5EEA25" w14:textId="10FB27D5" w:rsidR="009307C8" w:rsidRPr="009307C8" w:rsidRDefault="009307C8" w:rsidP="009307C8">
            <w:pPr>
              <w:spacing w:after="0" w:line="240" w:lineRule="auto"/>
              <w:rPr>
                <w:rFonts w:ascii="Calibri" w:eastAsia="Times New Roman" w:hAnsi="Calibri" w:cs="Calibri"/>
                <w:sz w:val="24"/>
                <w:szCs w:val="24"/>
                <w:lang w:bidi="he-IL"/>
              </w:rPr>
            </w:pPr>
            <w:r w:rsidRPr="009307C8">
              <w:rPr>
                <w:rFonts w:ascii="Calibri" w:hAnsi="Calibri" w:cs="Calibri"/>
                <w:color w:val="000000"/>
                <w:sz w:val="24"/>
                <w:szCs w:val="24"/>
              </w:rPr>
              <w:t>Arizona Project WET</w:t>
            </w:r>
          </w:p>
        </w:tc>
        <w:tc>
          <w:tcPr>
            <w:tcW w:w="3600" w:type="dxa"/>
            <w:shd w:val="clear" w:color="auto" w:fill="auto"/>
            <w:vAlign w:val="center"/>
          </w:tcPr>
          <w:p w14:paraId="63497777" w14:textId="01332921" w:rsidR="009307C8" w:rsidRPr="009307C8" w:rsidRDefault="009307C8" w:rsidP="009307C8">
            <w:pPr>
              <w:spacing w:after="0" w:line="240" w:lineRule="auto"/>
              <w:rPr>
                <w:rFonts w:ascii="Calibri" w:eastAsia="Times New Roman" w:hAnsi="Calibri" w:cs="Calibri"/>
                <w:sz w:val="24"/>
                <w:szCs w:val="24"/>
                <w:lang w:bidi="he-IL"/>
              </w:rPr>
            </w:pPr>
            <w:r w:rsidRPr="009307C8">
              <w:rPr>
                <w:rFonts w:ascii="Calibri" w:hAnsi="Calibri" w:cs="Calibri"/>
                <w:color w:val="000000"/>
                <w:sz w:val="24"/>
                <w:szCs w:val="24"/>
              </w:rPr>
              <w:t xml:space="preserve">Arizona Project WET, a recipient of ADWR Assistance Program funds since 2001, has developed and provided teacher workshops, Arizona-specific instructional materials, water education festivals and other innovative and valuable educational resources that promote the awareness, appreciation, knowledge, and stewardship of Arizona water resources. </w:t>
            </w:r>
          </w:p>
        </w:tc>
        <w:tc>
          <w:tcPr>
            <w:tcW w:w="1260" w:type="dxa"/>
            <w:shd w:val="clear" w:color="auto" w:fill="auto"/>
            <w:vAlign w:val="center"/>
          </w:tcPr>
          <w:p w14:paraId="1478EAE6" w14:textId="5342AAFF"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2020-3112 ISA</w:t>
            </w:r>
          </w:p>
        </w:tc>
        <w:tc>
          <w:tcPr>
            <w:tcW w:w="1080" w:type="dxa"/>
            <w:shd w:val="clear" w:color="auto" w:fill="auto"/>
            <w:vAlign w:val="center"/>
          </w:tcPr>
          <w:p w14:paraId="7DD824C9" w14:textId="40F28AD0" w:rsidR="009307C8" w:rsidRPr="00391BB1" w:rsidRDefault="009307C8"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$1</w:t>
            </w:r>
            <w:r w:rsidR="00654A10">
              <w:rPr>
                <w:rFonts w:ascii="Calibri" w:eastAsia="Times New Roman" w:hAnsi="Calibri" w:cs="Calibri"/>
                <w:lang w:bidi="he-IL"/>
              </w:rPr>
              <w:t>00,000</w:t>
            </w:r>
          </w:p>
        </w:tc>
        <w:tc>
          <w:tcPr>
            <w:tcW w:w="1350" w:type="dxa"/>
            <w:shd w:val="clear" w:color="auto" w:fill="auto"/>
            <w:vAlign w:val="center"/>
          </w:tcPr>
          <w:p w14:paraId="68082BCD" w14:textId="527443DE"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$22,500</w:t>
            </w:r>
          </w:p>
        </w:tc>
        <w:tc>
          <w:tcPr>
            <w:tcW w:w="1260" w:type="dxa"/>
            <w:vAlign w:val="center"/>
          </w:tcPr>
          <w:p w14:paraId="5C080CC9" w14:textId="77777777" w:rsidR="009307C8"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11/30/2022</w:t>
            </w:r>
          </w:p>
          <w:p w14:paraId="1C85502F" w14:textId="231D4EC6" w:rsidR="00654A10" w:rsidRPr="006B26F9"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w:t>
            </w:r>
            <w:r w:rsidR="00D810CE">
              <w:rPr>
                <w:rFonts w:ascii="Calibri" w:eastAsia="Times New Roman" w:hAnsi="Calibri" w:cs="Calibri"/>
                <w:lang w:bidi="he-IL"/>
              </w:rPr>
              <w:t>Requesting</w:t>
            </w:r>
            <w:r>
              <w:rPr>
                <w:rFonts w:ascii="Calibri" w:eastAsia="Times New Roman" w:hAnsi="Calibri" w:cs="Calibri"/>
                <w:lang w:bidi="he-IL"/>
              </w:rPr>
              <w:t xml:space="preserve"> renewal)</w:t>
            </w:r>
          </w:p>
        </w:tc>
      </w:tr>
      <w:tr w:rsidR="009307C8" w:rsidRPr="00313C85" w14:paraId="08F9D573" w14:textId="77777777" w:rsidTr="00293B95">
        <w:trPr>
          <w:trHeight w:val="598"/>
        </w:trPr>
        <w:tc>
          <w:tcPr>
            <w:tcW w:w="1525" w:type="dxa"/>
            <w:shd w:val="clear" w:color="auto" w:fill="auto"/>
            <w:vAlign w:val="center"/>
          </w:tcPr>
          <w:p w14:paraId="1BD266D5" w14:textId="0E33CD88" w:rsidR="009307C8" w:rsidRPr="00654A10" w:rsidRDefault="009307C8" w:rsidP="009307C8">
            <w:pPr>
              <w:spacing w:after="0" w:line="240" w:lineRule="auto"/>
              <w:rPr>
                <w:rFonts w:ascii="Calibri" w:eastAsia="Times New Roman" w:hAnsi="Calibri" w:cs="Calibri"/>
                <w:sz w:val="24"/>
                <w:szCs w:val="24"/>
                <w:lang w:bidi="he-IL"/>
              </w:rPr>
            </w:pPr>
            <w:r w:rsidRPr="00654A10">
              <w:rPr>
                <w:rFonts w:ascii="Calibri" w:hAnsi="Calibri" w:cs="Calibri"/>
                <w:color w:val="000000"/>
                <w:sz w:val="24"/>
                <w:szCs w:val="24"/>
              </w:rPr>
              <w:t>Water Conservation Management Program (WCMP)</w:t>
            </w:r>
          </w:p>
        </w:tc>
        <w:tc>
          <w:tcPr>
            <w:tcW w:w="3600" w:type="dxa"/>
            <w:shd w:val="clear" w:color="auto" w:fill="auto"/>
            <w:vAlign w:val="center"/>
          </w:tcPr>
          <w:p w14:paraId="71BFB04C" w14:textId="454FE376" w:rsidR="009307C8" w:rsidRPr="00654A10" w:rsidRDefault="009307C8" w:rsidP="009307C8">
            <w:pPr>
              <w:spacing w:after="0" w:line="240" w:lineRule="auto"/>
              <w:rPr>
                <w:rFonts w:ascii="Calibri" w:eastAsia="Times New Roman" w:hAnsi="Calibri" w:cs="Calibri"/>
                <w:sz w:val="24"/>
                <w:szCs w:val="24"/>
                <w:lang w:bidi="he-IL"/>
              </w:rPr>
            </w:pPr>
            <w:r w:rsidRPr="00654A10">
              <w:rPr>
                <w:rFonts w:ascii="Calibri" w:hAnsi="Calibri" w:cs="Calibri"/>
                <w:color w:val="000000"/>
                <w:sz w:val="24"/>
                <w:szCs w:val="24"/>
              </w:rPr>
              <w:t>Assists agricultural and urban irrigation water users within the Phoenix AMA by providing on-site irrigation technical assistance, including education and outreach to all agricultural water users; and by serving as a monitoring agent for the Department’s Agricultural Best Management Practice (BMP) program. The goals of the WCMP are to increase irrigation efficiencies and promote water conservation through a variety of services.</w:t>
            </w:r>
          </w:p>
        </w:tc>
        <w:tc>
          <w:tcPr>
            <w:tcW w:w="1260" w:type="dxa"/>
            <w:shd w:val="clear" w:color="auto" w:fill="auto"/>
            <w:vAlign w:val="center"/>
          </w:tcPr>
          <w:p w14:paraId="61DB5948" w14:textId="3A0F313F"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2020-3141 IGA</w:t>
            </w:r>
          </w:p>
        </w:tc>
        <w:tc>
          <w:tcPr>
            <w:tcW w:w="1080" w:type="dxa"/>
            <w:shd w:val="clear" w:color="auto" w:fill="auto"/>
            <w:vAlign w:val="center"/>
          </w:tcPr>
          <w:p w14:paraId="36FCFACB" w14:textId="72D7319C" w:rsidR="009307C8" w:rsidRDefault="009307C8"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$216,000</w:t>
            </w:r>
          </w:p>
        </w:tc>
        <w:tc>
          <w:tcPr>
            <w:tcW w:w="1350" w:type="dxa"/>
            <w:shd w:val="clear" w:color="auto" w:fill="auto"/>
            <w:vAlign w:val="center"/>
          </w:tcPr>
          <w:p w14:paraId="222E1D35" w14:textId="630E87CB" w:rsidR="009307C8" w:rsidRPr="00391BB1" w:rsidRDefault="00D810CE"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$141,000</w:t>
            </w:r>
          </w:p>
        </w:tc>
        <w:tc>
          <w:tcPr>
            <w:tcW w:w="1260" w:type="dxa"/>
            <w:vAlign w:val="center"/>
          </w:tcPr>
          <w:p w14:paraId="5E233D77" w14:textId="257422F0" w:rsidR="009307C8"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12/31/2023</w:t>
            </w:r>
          </w:p>
        </w:tc>
      </w:tr>
      <w:tr w:rsidR="009307C8" w:rsidRPr="00313C85" w14:paraId="46174FE0" w14:textId="77777777" w:rsidTr="00293B95">
        <w:trPr>
          <w:trHeight w:val="598"/>
        </w:trPr>
        <w:tc>
          <w:tcPr>
            <w:tcW w:w="1525" w:type="dxa"/>
            <w:shd w:val="clear" w:color="auto" w:fill="auto"/>
            <w:vAlign w:val="center"/>
          </w:tcPr>
          <w:p w14:paraId="70496ECC" w14:textId="746081E4" w:rsidR="009307C8" w:rsidRPr="00654A10" w:rsidRDefault="009307C8" w:rsidP="009307C8">
            <w:pPr>
              <w:spacing w:after="0" w:line="240" w:lineRule="auto"/>
              <w:rPr>
                <w:rFonts w:ascii="Calibri" w:eastAsia="Times New Roman" w:hAnsi="Calibri" w:cs="Calibri"/>
                <w:sz w:val="24"/>
                <w:szCs w:val="24"/>
                <w:lang w:bidi="he-IL"/>
              </w:rPr>
            </w:pPr>
            <w:r w:rsidRPr="00654A10">
              <w:rPr>
                <w:rFonts w:ascii="Calibri" w:hAnsi="Calibri" w:cs="Calibri"/>
                <w:color w:val="000000"/>
                <w:sz w:val="24"/>
                <w:szCs w:val="24"/>
              </w:rPr>
              <w:t>Smartscape Professional Landscape Training</w:t>
            </w:r>
          </w:p>
        </w:tc>
        <w:tc>
          <w:tcPr>
            <w:tcW w:w="3600" w:type="dxa"/>
            <w:shd w:val="clear" w:color="auto" w:fill="auto"/>
            <w:vAlign w:val="center"/>
          </w:tcPr>
          <w:p w14:paraId="4C2C88C3" w14:textId="24D60DDF" w:rsidR="009307C8" w:rsidRPr="00654A10" w:rsidRDefault="009307C8" w:rsidP="009307C8">
            <w:pPr>
              <w:spacing w:after="0" w:line="240" w:lineRule="auto"/>
              <w:rPr>
                <w:rFonts w:ascii="Calibri" w:eastAsia="Times New Roman" w:hAnsi="Calibri" w:cs="Calibri"/>
                <w:sz w:val="24"/>
                <w:szCs w:val="24"/>
                <w:lang w:bidi="he-IL"/>
              </w:rPr>
            </w:pPr>
            <w:r w:rsidRPr="00654A10">
              <w:rPr>
                <w:rFonts w:ascii="Calibri" w:hAnsi="Calibri" w:cs="Calibri"/>
                <w:color w:val="000000"/>
                <w:sz w:val="24"/>
                <w:szCs w:val="24"/>
              </w:rPr>
              <w:t xml:space="preserve">SMARTSCAPE has instructed landscape professionals in the fundamentals of design, installation, irrigation, and maintenance of low-water-use landscapes since 1994. SMARTSCAPE has been coordinated and funded in the Phoenix area by AMWUA. ADWR matching funding goes toward </w:t>
            </w:r>
            <w:r w:rsidRPr="00654A10">
              <w:rPr>
                <w:rFonts w:ascii="Calibri" w:hAnsi="Calibri" w:cs="Calibri"/>
                <w:color w:val="000000"/>
                <w:sz w:val="24"/>
                <w:szCs w:val="24"/>
              </w:rPr>
              <w:lastRenderedPageBreak/>
              <w:t>analysis of program impacts, administration of the SMARTSCAPE website, and increasing promotion and partnerships.</w:t>
            </w:r>
          </w:p>
        </w:tc>
        <w:tc>
          <w:tcPr>
            <w:tcW w:w="1260" w:type="dxa"/>
            <w:shd w:val="clear" w:color="auto" w:fill="auto"/>
            <w:vAlign w:val="center"/>
          </w:tcPr>
          <w:p w14:paraId="63877608" w14:textId="60A861AB"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lastRenderedPageBreak/>
              <w:t>2020-3134 ISA</w:t>
            </w:r>
          </w:p>
        </w:tc>
        <w:tc>
          <w:tcPr>
            <w:tcW w:w="1080" w:type="dxa"/>
            <w:shd w:val="clear" w:color="auto" w:fill="auto"/>
            <w:vAlign w:val="center"/>
          </w:tcPr>
          <w:p w14:paraId="5EC7FEE6" w14:textId="72A30BEA" w:rsidR="009307C8" w:rsidRDefault="009307C8"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$93,930</w:t>
            </w:r>
          </w:p>
        </w:tc>
        <w:tc>
          <w:tcPr>
            <w:tcW w:w="1350" w:type="dxa"/>
            <w:shd w:val="clear" w:color="auto" w:fill="auto"/>
            <w:vAlign w:val="center"/>
          </w:tcPr>
          <w:p w14:paraId="398AB045" w14:textId="495B3C1A"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$46,965</w:t>
            </w:r>
          </w:p>
        </w:tc>
        <w:tc>
          <w:tcPr>
            <w:tcW w:w="1260" w:type="dxa"/>
            <w:vAlign w:val="center"/>
          </w:tcPr>
          <w:p w14:paraId="1899246E" w14:textId="4813F5FC" w:rsidR="009307C8"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6/30/2023</w:t>
            </w:r>
          </w:p>
        </w:tc>
      </w:tr>
      <w:tr w:rsidR="009307C8" w:rsidRPr="00313C85" w14:paraId="06614B91" w14:textId="77777777" w:rsidTr="00293B95">
        <w:trPr>
          <w:trHeight w:val="598"/>
        </w:trPr>
        <w:tc>
          <w:tcPr>
            <w:tcW w:w="1525" w:type="dxa"/>
            <w:shd w:val="clear" w:color="auto" w:fill="auto"/>
            <w:vAlign w:val="center"/>
          </w:tcPr>
          <w:p w14:paraId="601E5EE3" w14:textId="3563FD77" w:rsidR="009307C8" w:rsidRPr="00654A10" w:rsidRDefault="009307C8" w:rsidP="009307C8">
            <w:pPr>
              <w:spacing w:after="0" w:line="240" w:lineRule="auto"/>
              <w:rPr>
                <w:rFonts w:ascii="Calibri" w:eastAsia="Times New Roman" w:hAnsi="Calibri" w:cs="Calibri"/>
                <w:sz w:val="24"/>
                <w:szCs w:val="24"/>
                <w:lang w:bidi="he-IL"/>
              </w:rPr>
            </w:pPr>
            <w:r w:rsidRPr="00654A10">
              <w:rPr>
                <w:rFonts w:ascii="Calibri" w:hAnsi="Calibri" w:cs="Calibri"/>
                <w:color w:val="000000"/>
                <w:sz w:val="24"/>
                <w:szCs w:val="24"/>
              </w:rPr>
              <w:t>Regional Water Use Study (Phase II) -   Multi-Family</w:t>
            </w:r>
          </w:p>
        </w:tc>
        <w:tc>
          <w:tcPr>
            <w:tcW w:w="3600" w:type="dxa"/>
            <w:shd w:val="clear" w:color="auto" w:fill="auto"/>
            <w:vAlign w:val="center"/>
          </w:tcPr>
          <w:p w14:paraId="082B0BF3" w14:textId="42DEDBFC" w:rsidR="009307C8" w:rsidRPr="00654A10" w:rsidRDefault="009307C8" w:rsidP="009307C8">
            <w:pPr>
              <w:spacing w:after="0" w:line="240" w:lineRule="auto"/>
              <w:rPr>
                <w:rFonts w:ascii="Calibri" w:eastAsia="Times New Roman" w:hAnsi="Calibri" w:cs="Calibri"/>
                <w:sz w:val="24"/>
                <w:szCs w:val="24"/>
                <w:lang w:bidi="he-IL"/>
              </w:rPr>
            </w:pPr>
            <w:r w:rsidRPr="00654A10">
              <w:rPr>
                <w:rFonts w:ascii="Calibri" w:hAnsi="Calibri" w:cs="Calibri"/>
                <w:color w:val="000000"/>
                <w:sz w:val="24"/>
                <w:szCs w:val="24"/>
              </w:rPr>
              <w:t>Regional Water Use Study - Phase II - will investigate end-use water trends in the multi-family sector. This study would attempt to provide baseline data, usage trends, and projections of future use with a focus on sector-specific metrics.</w:t>
            </w:r>
          </w:p>
        </w:tc>
        <w:tc>
          <w:tcPr>
            <w:tcW w:w="1260" w:type="dxa"/>
            <w:shd w:val="clear" w:color="auto" w:fill="auto"/>
            <w:vAlign w:val="center"/>
          </w:tcPr>
          <w:p w14:paraId="767628D0" w14:textId="4D1E4EC1"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2020-3113 IGA</w:t>
            </w:r>
          </w:p>
        </w:tc>
        <w:tc>
          <w:tcPr>
            <w:tcW w:w="1080" w:type="dxa"/>
            <w:shd w:val="clear" w:color="auto" w:fill="auto"/>
            <w:vAlign w:val="center"/>
          </w:tcPr>
          <w:p w14:paraId="2E08B4F7" w14:textId="34255A16" w:rsidR="009307C8" w:rsidRDefault="009307C8"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$139,000</w:t>
            </w:r>
          </w:p>
        </w:tc>
        <w:tc>
          <w:tcPr>
            <w:tcW w:w="1350" w:type="dxa"/>
            <w:shd w:val="clear" w:color="auto" w:fill="auto"/>
            <w:vAlign w:val="center"/>
          </w:tcPr>
          <w:p w14:paraId="1F1335E2" w14:textId="30F3D58E"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$139,000</w:t>
            </w:r>
          </w:p>
        </w:tc>
        <w:tc>
          <w:tcPr>
            <w:tcW w:w="1260" w:type="dxa"/>
            <w:vAlign w:val="center"/>
          </w:tcPr>
          <w:p w14:paraId="3F06E3E3" w14:textId="60141556" w:rsidR="00D810CE" w:rsidRDefault="00654A10" w:rsidP="00D810CE">
            <w:pPr>
              <w:spacing w:after="0" w:line="240" w:lineRule="auto"/>
              <w:jc w:val="center"/>
              <w:rPr>
                <w:rFonts w:ascii="Calibri" w:eastAsia="Times New Roman" w:hAnsi="Calibri" w:cs="Calibri"/>
                <w:lang w:bidi="he-IL"/>
              </w:rPr>
            </w:pPr>
            <w:r>
              <w:rPr>
                <w:rFonts w:ascii="Calibri" w:eastAsia="Times New Roman" w:hAnsi="Calibri" w:cs="Calibri"/>
                <w:lang w:bidi="he-IL"/>
              </w:rPr>
              <w:t>2/1/2023</w:t>
            </w:r>
          </w:p>
        </w:tc>
      </w:tr>
      <w:tr w:rsidR="009307C8" w:rsidRPr="00313C85" w14:paraId="50A21653" w14:textId="77777777" w:rsidTr="00293B95">
        <w:trPr>
          <w:trHeight w:val="598"/>
        </w:trPr>
        <w:tc>
          <w:tcPr>
            <w:tcW w:w="1525" w:type="dxa"/>
            <w:shd w:val="clear" w:color="auto" w:fill="auto"/>
            <w:vAlign w:val="center"/>
          </w:tcPr>
          <w:p w14:paraId="300DE6FC" w14:textId="77777777" w:rsidR="009307C8" w:rsidRPr="00654A10" w:rsidRDefault="009307C8" w:rsidP="009307C8">
            <w:pPr>
              <w:rPr>
                <w:rFonts w:ascii="Calibri" w:hAnsi="Calibri" w:cs="Calibri"/>
                <w:color w:val="000000"/>
                <w:sz w:val="24"/>
                <w:szCs w:val="24"/>
              </w:rPr>
            </w:pPr>
            <w:r w:rsidRPr="00654A10">
              <w:rPr>
                <w:rFonts w:ascii="Calibri" w:hAnsi="Calibri" w:cs="Calibri"/>
                <w:color w:val="000000"/>
                <w:sz w:val="24"/>
                <w:szCs w:val="24"/>
              </w:rPr>
              <w:t xml:space="preserve">Leak Detection Equipment Replacement </w:t>
            </w:r>
          </w:p>
          <w:p w14:paraId="0B0B8CC4" w14:textId="77777777" w:rsidR="009307C8" w:rsidRPr="00654A10" w:rsidRDefault="009307C8" w:rsidP="009307C8">
            <w:pPr>
              <w:spacing w:after="0" w:line="240" w:lineRule="auto"/>
              <w:rPr>
                <w:rFonts w:ascii="Calibri" w:hAnsi="Calibri" w:cs="Calibri"/>
                <w:color w:val="000000"/>
                <w:sz w:val="24"/>
                <w:szCs w:val="24"/>
              </w:rPr>
            </w:pPr>
          </w:p>
        </w:tc>
        <w:tc>
          <w:tcPr>
            <w:tcW w:w="3600" w:type="dxa"/>
            <w:shd w:val="clear" w:color="auto" w:fill="auto"/>
            <w:vAlign w:val="center"/>
          </w:tcPr>
          <w:p w14:paraId="552401B6" w14:textId="22BD99FA" w:rsidR="009307C8" w:rsidRPr="00654A10" w:rsidRDefault="009307C8" w:rsidP="00293B95">
            <w:pPr>
              <w:rPr>
                <w:rFonts w:ascii="Calibri" w:hAnsi="Calibri" w:cs="Calibri"/>
                <w:color w:val="000000"/>
                <w:sz w:val="24"/>
                <w:szCs w:val="24"/>
              </w:rPr>
            </w:pPr>
            <w:r w:rsidRPr="00654A10">
              <w:rPr>
                <w:rFonts w:ascii="Calibri" w:hAnsi="Calibri" w:cs="Calibri"/>
                <w:sz w:val="24"/>
                <w:szCs w:val="24"/>
              </w:rPr>
              <w:t>Purchase new leak detection equipment to replace current equipment; leverage this project with its ESRI ArcGIS Field Rollout Project; The two projects work together to provide the most effective and comprehensive leak detection programs for AWC water systems.</w:t>
            </w:r>
          </w:p>
        </w:tc>
        <w:tc>
          <w:tcPr>
            <w:tcW w:w="1260" w:type="dxa"/>
            <w:shd w:val="clear" w:color="auto" w:fill="auto"/>
            <w:vAlign w:val="center"/>
          </w:tcPr>
          <w:p w14:paraId="61627A08" w14:textId="4895121A"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2020-3120</w:t>
            </w:r>
          </w:p>
        </w:tc>
        <w:tc>
          <w:tcPr>
            <w:tcW w:w="1080" w:type="dxa"/>
            <w:shd w:val="clear" w:color="auto" w:fill="auto"/>
            <w:vAlign w:val="center"/>
          </w:tcPr>
          <w:p w14:paraId="19F079B9" w14:textId="7FACDF4A" w:rsidR="009307C8" w:rsidRDefault="009307C8"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$32,355</w:t>
            </w:r>
          </w:p>
        </w:tc>
        <w:tc>
          <w:tcPr>
            <w:tcW w:w="1350" w:type="dxa"/>
            <w:shd w:val="clear" w:color="auto" w:fill="auto"/>
            <w:vAlign w:val="center"/>
          </w:tcPr>
          <w:p w14:paraId="397A6881" w14:textId="0BCC4405" w:rsidR="009307C8" w:rsidRPr="00391BB1"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$32,355</w:t>
            </w:r>
          </w:p>
        </w:tc>
        <w:tc>
          <w:tcPr>
            <w:tcW w:w="1260" w:type="dxa"/>
            <w:vAlign w:val="center"/>
          </w:tcPr>
          <w:p w14:paraId="2807DC7B" w14:textId="1C8FD0DF" w:rsidR="009307C8" w:rsidRDefault="00654A10" w:rsidP="009307C8">
            <w:pPr>
              <w:spacing w:after="0" w:line="240" w:lineRule="auto"/>
              <w:jc w:val="center"/>
              <w:rPr>
                <w:rFonts w:ascii="Calibri" w:eastAsia="Times New Roman" w:hAnsi="Calibri" w:cs="Calibri"/>
                <w:lang w:bidi="he-IL"/>
              </w:rPr>
            </w:pPr>
            <w:r>
              <w:rPr>
                <w:rFonts w:ascii="Calibri" w:eastAsia="Times New Roman" w:hAnsi="Calibri" w:cs="Calibri"/>
                <w:lang w:bidi="he-IL"/>
              </w:rPr>
              <w:t>3/31/2026</w:t>
            </w:r>
          </w:p>
        </w:tc>
      </w:tr>
    </w:tbl>
    <w:p w14:paraId="1C9DA363" w14:textId="77777777" w:rsidR="00D80D22" w:rsidRDefault="00D80D22" w:rsidP="00974182">
      <w:pPr>
        <w:spacing w:after="0" w:line="240" w:lineRule="auto"/>
        <w:jc w:val="center"/>
        <w:rPr>
          <w:b/>
          <w:sz w:val="26"/>
          <w:szCs w:val="26"/>
        </w:rPr>
      </w:pPr>
    </w:p>
    <w:p w14:paraId="30D5EDD8" w14:textId="77777777" w:rsidR="00C7002D" w:rsidRDefault="00C7002D" w:rsidP="00974182">
      <w:pPr>
        <w:spacing w:after="0" w:line="240" w:lineRule="auto"/>
        <w:jc w:val="center"/>
        <w:rPr>
          <w:rFonts w:ascii="Calibri" w:eastAsia="Times New Roman" w:hAnsi="Calibri" w:cs="Calibri"/>
          <w:b/>
          <w:bCs/>
          <w:color w:val="1C3158"/>
          <w:sz w:val="34"/>
          <w:szCs w:val="34"/>
          <w:lang w:bidi="he-IL"/>
        </w:rPr>
      </w:pPr>
    </w:p>
    <w:p w14:paraId="5ABB2C27" w14:textId="4DA43D71" w:rsidR="00974182" w:rsidRPr="00176D51" w:rsidRDefault="00974182" w:rsidP="00974182">
      <w:pPr>
        <w:spacing w:after="0" w:line="240" w:lineRule="auto"/>
        <w:jc w:val="center"/>
        <w:rPr>
          <w:rFonts w:ascii="Calibri" w:eastAsia="Times New Roman" w:hAnsi="Calibri" w:cs="Calibri"/>
          <w:b/>
          <w:bCs/>
          <w:color w:val="1C3158"/>
          <w:sz w:val="34"/>
          <w:szCs w:val="34"/>
          <w:lang w:bidi="he-IL"/>
        </w:rPr>
      </w:pPr>
      <w:r>
        <w:rPr>
          <w:rFonts w:ascii="Calibri" w:eastAsia="Times New Roman" w:hAnsi="Calibri" w:cs="Calibri"/>
          <w:b/>
          <w:bCs/>
          <w:color w:val="1C3158"/>
          <w:sz w:val="34"/>
          <w:szCs w:val="34"/>
          <w:lang w:bidi="he-IL"/>
        </w:rPr>
        <w:t xml:space="preserve">Groundwater Conservation Grant </w:t>
      </w:r>
      <w:r w:rsidRPr="00663B53">
        <w:rPr>
          <w:rFonts w:ascii="Calibri" w:eastAsia="Times New Roman" w:hAnsi="Calibri" w:cs="Calibri"/>
          <w:b/>
          <w:bCs/>
          <w:color w:val="1C3158"/>
          <w:sz w:val="34"/>
          <w:szCs w:val="34"/>
          <w:lang w:bidi="he-IL"/>
        </w:rPr>
        <w:t>Projects</w:t>
      </w:r>
    </w:p>
    <w:tbl>
      <w:tblPr>
        <w:tblpPr w:leftFromText="180" w:rightFromText="180" w:vertAnchor="page" w:horzAnchor="margin" w:tblpXSpec="center" w:tblpY="9429"/>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525"/>
        <w:gridCol w:w="4140"/>
        <w:gridCol w:w="1260"/>
        <w:gridCol w:w="900"/>
        <w:gridCol w:w="1080"/>
        <w:gridCol w:w="1241"/>
      </w:tblGrid>
      <w:tr w:rsidR="00974182" w:rsidRPr="00313C85" w14:paraId="222D23E4" w14:textId="77777777" w:rsidTr="00293B95">
        <w:trPr>
          <w:trHeight w:val="507"/>
        </w:trPr>
        <w:tc>
          <w:tcPr>
            <w:tcW w:w="1525" w:type="dxa"/>
            <w:shd w:val="clear" w:color="auto" w:fill="D9E2F3" w:themeFill="accent1" w:themeFillTint="33"/>
            <w:vAlign w:val="center"/>
          </w:tcPr>
          <w:p w14:paraId="7178B609" w14:textId="77777777" w:rsidR="00974182" w:rsidRPr="00802E6A" w:rsidRDefault="00974182" w:rsidP="009307C8">
            <w:pPr>
              <w:spacing w:after="0" w:line="240" w:lineRule="auto"/>
              <w:jc w:val="center"/>
              <w:rPr>
                <w:rFonts w:ascii="Calibri" w:eastAsia="Times New Roman" w:hAnsi="Calibri" w:cs="Calibri"/>
                <w:b/>
                <w:bCs/>
                <w:lang w:bidi="he-IL"/>
              </w:rPr>
            </w:pPr>
            <w:r w:rsidRPr="00802E6A">
              <w:rPr>
                <w:rFonts w:ascii="Calibri" w:eastAsia="Times New Roman" w:hAnsi="Calibri" w:cs="Calibri"/>
                <w:b/>
                <w:bCs/>
                <w:lang w:bidi="he-IL"/>
              </w:rPr>
              <w:t>PROJECT NAME</w:t>
            </w:r>
          </w:p>
        </w:tc>
        <w:tc>
          <w:tcPr>
            <w:tcW w:w="4140" w:type="dxa"/>
            <w:shd w:val="clear" w:color="auto" w:fill="D9E2F3" w:themeFill="accent1" w:themeFillTint="33"/>
            <w:vAlign w:val="center"/>
          </w:tcPr>
          <w:p w14:paraId="3EEC66C3" w14:textId="77777777" w:rsidR="00974182" w:rsidRPr="00802E6A" w:rsidRDefault="00974182" w:rsidP="009307C8">
            <w:pPr>
              <w:spacing w:after="0" w:line="240" w:lineRule="auto"/>
              <w:jc w:val="center"/>
              <w:rPr>
                <w:rFonts w:ascii="Calibri" w:eastAsia="Times New Roman" w:hAnsi="Calibri" w:cs="Calibri"/>
                <w:b/>
                <w:bCs/>
                <w:lang w:bidi="he-IL"/>
              </w:rPr>
            </w:pPr>
            <w:r w:rsidRPr="00802E6A">
              <w:rPr>
                <w:rFonts w:ascii="Calibri" w:eastAsia="Times New Roman" w:hAnsi="Calibri" w:cs="Calibri"/>
                <w:b/>
                <w:bCs/>
                <w:lang w:bidi="he-IL"/>
              </w:rPr>
              <w:t>DESCRIPTION</w:t>
            </w:r>
          </w:p>
        </w:tc>
        <w:tc>
          <w:tcPr>
            <w:tcW w:w="1260" w:type="dxa"/>
            <w:shd w:val="clear" w:color="auto" w:fill="D9E2F3" w:themeFill="accent1" w:themeFillTint="33"/>
          </w:tcPr>
          <w:p w14:paraId="0E2F2B79" w14:textId="77777777" w:rsidR="00974182" w:rsidRPr="00802E6A" w:rsidRDefault="00974182" w:rsidP="009307C8">
            <w:pPr>
              <w:spacing w:after="0" w:line="240" w:lineRule="auto"/>
              <w:jc w:val="center"/>
              <w:rPr>
                <w:rFonts w:ascii="Calibri" w:eastAsia="Times New Roman" w:hAnsi="Calibri" w:cs="Calibri"/>
                <w:b/>
                <w:bCs/>
                <w:lang w:bidi="he-IL"/>
              </w:rPr>
            </w:pPr>
            <w:r w:rsidRPr="00802E6A">
              <w:rPr>
                <w:rFonts w:ascii="Calibri" w:eastAsia="Times New Roman" w:hAnsi="Calibri" w:cs="Calibri"/>
                <w:b/>
                <w:bCs/>
                <w:lang w:bidi="he-IL"/>
              </w:rPr>
              <w:t>CONTRACT NUMBER</w:t>
            </w:r>
          </w:p>
        </w:tc>
        <w:tc>
          <w:tcPr>
            <w:tcW w:w="900" w:type="dxa"/>
            <w:shd w:val="clear" w:color="auto" w:fill="D9E2F3" w:themeFill="accent1" w:themeFillTint="33"/>
          </w:tcPr>
          <w:p w14:paraId="42A37243" w14:textId="77777777" w:rsidR="00974182" w:rsidRPr="00802E6A" w:rsidRDefault="00974182" w:rsidP="009307C8">
            <w:pPr>
              <w:spacing w:after="0" w:line="240" w:lineRule="auto"/>
              <w:jc w:val="center"/>
              <w:rPr>
                <w:rFonts w:ascii="Calibri" w:eastAsia="Times New Roman" w:hAnsi="Calibri" w:cs="Calibri"/>
                <w:b/>
                <w:bCs/>
                <w:lang w:bidi="he-IL"/>
              </w:rPr>
            </w:pPr>
            <w:r w:rsidRPr="00802E6A">
              <w:rPr>
                <w:rFonts w:ascii="Calibri" w:eastAsia="Times New Roman" w:hAnsi="Calibri" w:cs="Calibri"/>
                <w:b/>
                <w:bCs/>
                <w:lang w:bidi="he-IL"/>
              </w:rPr>
              <w:t>WMAP FUNDS</w:t>
            </w:r>
          </w:p>
        </w:tc>
        <w:tc>
          <w:tcPr>
            <w:tcW w:w="1080" w:type="dxa"/>
            <w:shd w:val="clear" w:color="auto" w:fill="D9E2F3" w:themeFill="accent1" w:themeFillTint="33"/>
            <w:vAlign w:val="center"/>
          </w:tcPr>
          <w:p w14:paraId="13633BC0" w14:textId="77777777" w:rsidR="00974182" w:rsidRPr="00802E6A" w:rsidRDefault="00974182" w:rsidP="009307C8">
            <w:pPr>
              <w:spacing w:after="0" w:line="240" w:lineRule="auto"/>
              <w:jc w:val="center"/>
              <w:rPr>
                <w:rFonts w:ascii="Calibri" w:eastAsia="Times New Roman" w:hAnsi="Calibri" w:cs="Calibri"/>
                <w:b/>
                <w:bCs/>
                <w:lang w:bidi="he-IL"/>
              </w:rPr>
            </w:pPr>
            <w:r w:rsidRPr="00802E6A">
              <w:rPr>
                <w:rFonts w:ascii="Calibri" w:eastAsia="Times New Roman" w:hAnsi="Calibri" w:cs="Calibri"/>
                <w:b/>
                <w:bCs/>
                <w:lang w:bidi="he-IL"/>
              </w:rPr>
              <w:t xml:space="preserve">TOTAL </w:t>
            </w:r>
            <w:r>
              <w:rPr>
                <w:rFonts w:ascii="Calibri" w:eastAsia="Times New Roman" w:hAnsi="Calibri" w:cs="Calibri"/>
                <w:b/>
                <w:bCs/>
                <w:lang w:bidi="he-IL"/>
              </w:rPr>
              <w:t>FUNDING</w:t>
            </w:r>
          </w:p>
        </w:tc>
        <w:tc>
          <w:tcPr>
            <w:tcW w:w="1241" w:type="dxa"/>
            <w:shd w:val="clear" w:color="auto" w:fill="D9E2F3" w:themeFill="accent1" w:themeFillTint="33"/>
          </w:tcPr>
          <w:p w14:paraId="60F7EC32" w14:textId="77777777" w:rsidR="00974182" w:rsidRPr="00802E6A" w:rsidRDefault="00974182" w:rsidP="009307C8">
            <w:pPr>
              <w:spacing w:after="0" w:line="240" w:lineRule="auto"/>
              <w:jc w:val="center"/>
              <w:rPr>
                <w:rFonts w:ascii="Calibri" w:eastAsia="Times New Roman" w:hAnsi="Calibri" w:cs="Calibri"/>
                <w:b/>
                <w:bCs/>
                <w:lang w:bidi="he-IL"/>
              </w:rPr>
            </w:pPr>
            <w:r>
              <w:rPr>
                <w:rFonts w:ascii="Calibri" w:eastAsia="Times New Roman" w:hAnsi="Calibri" w:cs="Calibri"/>
                <w:b/>
                <w:bCs/>
                <w:lang w:bidi="he-IL"/>
              </w:rPr>
              <w:t>CONTRACT ENDS</w:t>
            </w:r>
          </w:p>
        </w:tc>
      </w:tr>
      <w:tr w:rsidR="00D810CE" w:rsidRPr="00313C85" w14:paraId="5190BE13" w14:textId="77777777" w:rsidTr="00293B95">
        <w:trPr>
          <w:trHeight w:val="705"/>
        </w:trPr>
        <w:tc>
          <w:tcPr>
            <w:tcW w:w="1525" w:type="dxa"/>
            <w:shd w:val="clear" w:color="auto" w:fill="auto"/>
            <w:vAlign w:val="center"/>
          </w:tcPr>
          <w:p w14:paraId="38C6A09E" w14:textId="0A846371"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color w:val="000000"/>
                <w:sz w:val="24"/>
                <w:szCs w:val="24"/>
              </w:rPr>
              <w:t>Using Project-Based STEM Education to Enhance Groundwater Conservation in Maricopa County Schools</w:t>
            </w:r>
          </w:p>
        </w:tc>
        <w:tc>
          <w:tcPr>
            <w:tcW w:w="4140" w:type="dxa"/>
            <w:shd w:val="clear" w:color="auto" w:fill="auto"/>
            <w:vAlign w:val="center"/>
          </w:tcPr>
          <w:p w14:paraId="370CAF7B" w14:textId="689B1E35"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sz w:val="24"/>
                <w:szCs w:val="24"/>
              </w:rPr>
              <w:t>Develop and deliver a new educational curriculum combining a thorough understanding of the groundwater system with opportunities to conserve tangible groundwater resources at schools within the Phoenix AMA.</w:t>
            </w:r>
          </w:p>
        </w:tc>
        <w:tc>
          <w:tcPr>
            <w:tcW w:w="1260" w:type="dxa"/>
            <w:shd w:val="clear" w:color="auto" w:fill="auto"/>
            <w:vAlign w:val="center"/>
          </w:tcPr>
          <w:p w14:paraId="7CB4D29A" w14:textId="638A0C01" w:rsidR="00D810CE" w:rsidRPr="00391BB1" w:rsidRDefault="00D01163" w:rsidP="00D810CE">
            <w:pPr>
              <w:spacing w:after="0" w:line="240" w:lineRule="auto"/>
              <w:jc w:val="center"/>
              <w:rPr>
                <w:rFonts w:ascii="Calibri" w:eastAsia="Times New Roman" w:hAnsi="Calibri" w:cs="Calibri"/>
                <w:lang w:bidi="he-IL"/>
              </w:rPr>
            </w:pPr>
            <w:r>
              <w:rPr>
                <w:rFonts w:ascii="Calibri" w:eastAsia="Times New Roman" w:hAnsi="Calibri" w:cs="Calibri"/>
                <w:lang w:bidi="he-IL"/>
              </w:rPr>
              <w:t>2020-3114</w:t>
            </w:r>
          </w:p>
        </w:tc>
        <w:tc>
          <w:tcPr>
            <w:tcW w:w="900" w:type="dxa"/>
            <w:shd w:val="clear" w:color="auto" w:fill="auto"/>
            <w:vAlign w:val="center"/>
          </w:tcPr>
          <w:p w14:paraId="400064BE" w14:textId="77777777" w:rsidR="00D810CE" w:rsidRPr="00391BB1" w:rsidRDefault="00D810CE" w:rsidP="00D810CE">
            <w:pPr>
              <w:spacing w:after="0" w:line="240" w:lineRule="auto"/>
              <w:jc w:val="center"/>
              <w:rPr>
                <w:rFonts w:ascii="Calibri" w:eastAsia="Times New Roman" w:hAnsi="Calibri" w:cs="Calibri"/>
                <w:lang w:bidi="he-IL"/>
              </w:rPr>
            </w:pPr>
            <w:r w:rsidRPr="00391BB1">
              <w:rPr>
                <w:rFonts w:ascii="Calibri" w:eastAsia="Times New Roman" w:hAnsi="Calibri" w:cs="Calibri"/>
                <w:lang w:bidi="he-IL"/>
              </w:rPr>
              <w:t>-</w:t>
            </w:r>
          </w:p>
        </w:tc>
        <w:tc>
          <w:tcPr>
            <w:tcW w:w="1080" w:type="dxa"/>
            <w:shd w:val="clear" w:color="auto" w:fill="auto"/>
            <w:vAlign w:val="center"/>
          </w:tcPr>
          <w:p w14:paraId="6A259E2B" w14:textId="443D02D5" w:rsidR="00D810CE" w:rsidRPr="00391BB1" w:rsidRDefault="00D810CE" w:rsidP="00D810CE">
            <w:pPr>
              <w:spacing w:after="0" w:line="240" w:lineRule="auto"/>
              <w:jc w:val="center"/>
              <w:rPr>
                <w:rFonts w:ascii="Calibri" w:eastAsia="Times New Roman" w:hAnsi="Calibri" w:cs="Calibri"/>
                <w:lang w:bidi="he-IL"/>
              </w:rPr>
            </w:pPr>
            <w:r w:rsidRPr="00391BB1">
              <w:rPr>
                <w:rFonts w:ascii="Calibri" w:eastAsia="Times New Roman" w:hAnsi="Calibri" w:cs="Calibri"/>
                <w:lang w:bidi="he-IL"/>
              </w:rPr>
              <w:t>$</w:t>
            </w:r>
            <w:r>
              <w:rPr>
                <w:rFonts w:ascii="Calibri" w:eastAsia="Times New Roman" w:hAnsi="Calibri" w:cs="Calibri"/>
                <w:lang w:bidi="he-IL"/>
              </w:rPr>
              <w:t>195,855</w:t>
            </w:r>
          </w:p>
        </w:tc>
        <w:tc>
          <w:tcPr>
            <w:tcW w:w="1241" w:type="dxa"/>
            <w:vAlign w:val="center"/>
          </w:tcPr>
          <w:p w14:paraId="4031CCF6" w14:textId="070DBFF7" w:rsidR="00D810CE" w:rsidRPr="006B26F9" w:rsidRDefault="00D810CE" w:rsidP="00D810CE">
            <w:pPr>
              <w:spacing w:after="0" w:line="240" w:lineRule="auto"/>
              <w:jc w:val="center"/>
              <w:rPr>
                <w:rFonts w:ascii="Calibri" w:eastAsia="Times New Roman" w:hAnsi="Calibri" w:cs="Calibri"/>
                <w:lang w:bidi="he-IL"/>
              </w:rPr>
            </w:pPr>
            <w:r>
              <w:rPr>
                <w:rFonts w:ascii="Calibri" w:eastAsia="Times New Roman" w:hAnsi="Calibri" w:cs="Calibri"/>
                <w:lang w:bidi="he-IL"/>
              </w:rPr>
              <w:t>10/31/2024</w:t>
            </w:r>
          </w:p>
        </w:tc>
      </w:tr>
      <w:tr w:rsidR="00D810CE" w:rsidRPr="00313C85" w14:paraId="2C8C3C1B" w14:textId="77777777" w:rsidTr="00293B95">
        <w:trPr>
          <w:trHeight w:val="820"/>
        </w:trPr>
        <w:tc>
          <w:tcPr>
            <w:tcW w:w="1525" w:type="dxa"/>
            <w:shd w:val="clear" w:color="auto" w:fill="auto"/>
            <w:vAlign w:val="center"/>
          </w:tcPr>
          <w:p w14:paraId="38D8CE65" w14:textId="39D6A0BD"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color w:val="000000"/>
                <w:sz w:val="24"/>
                <w:szCs w:val="24"/>
              </w:rPr>
              <w:t>Northern Avenue Lateral Surface Water Capacity Restoration</w:t>
            </w:r>
          </w:p>
        </w:tc>
        <w:tc>
          <w:tcPr>
            <w:tcW w:w="4140" w:type="dxa"/>
            <w:shd w:val="clear" w:color="auto" w:fill="auto"/>
            <w:vAlign w:val="center"/>
          </w:tcPr>
          <w:p w14:paraId="7072DD51" w14:textId="14E6A6E5"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sz w:val="24"/>
                <w:szCs w:val="24"/>
              </w:rPr>
              <w:t>Make improvements to aging delivery infrastructure to enable a fuller utilization of surface water supply and reduce groundwater use.</w:t>
            </w:r>
          </w:p>
        </w:tc>
        <w:tc>
          <w:tcPr>
            <w:tcW w:w="1260" w:type="dxa"/>
            <w:shd w:val="clear" w:color="auto" w:fill="auto"/>
            <w:vAlign w:val="center"/>
          </w:tcPr>
          <w:p w14:paraId="01A16A76" w14:textId="7FA46CFC" w:rsidR="00D810CE" w:rsidRPr="00391BB1" w:rsidRDefault="00D01163" w:rsidP="00D810CE">
            <w:pPr>
              <w:spacing w:after="0" w:line="240" w:lineRule="auto"/>
              <w:jc w:val="center"/>
              <w:rPr>
                <w:rFonts w:ascii="Calibri" w:eastAsia="Times New Roman" w:hAnsi="Calibri" w:cs="Calibri"/>
                <w:lang w:bidi="he-IL"/>
              </w:rPr>
            </w:pPr>
            <w:r>
              <w:rPr>
                <w:rFonts w:ascii="Calibri" w:eastAsia="Times New Roman" w:hAnsi="Calibri" w:cs="Calibri"/>
                <w:lang w:bidi="he-IL"/>
              </w:rPr>
              <w:t>2020-3115</w:t>
            </w:r>
          </w:p>
        </w:tc>
        <w:tc>
          <w:tcPr>
            <w:tcW w:w="900" w:type="dxa"/>
            <w:shd w:val="clear" w:color="auto" w:fill="auto"/>
            <w:vAlign w:val="center"/>
          </w:tcPr>
          <w:p w14:paraId="287DD210" w14:textId="77777777" w:rsidR="00D810CE" w:rsidRPr="00391BB1" w:rsidRDefault="00D810CE" w:rsidP="00D810CE">
            <w:pPr>
              <w:spacing w:after="0" w:line="240" w:lineRule="auto"/>
              <w:jc w:val="center"/>
              <w:rPr>
                <w:rFonts w:ascii="Calibri" w:eastAsia="Times New Roman" w:hAnsi="Calibri" w:cs="Calibri"/>
                <w:lang w:bidi="he-IL"/>
              </w:rPr>
            </w:pPr>
            <w:r w:rsidRPr="00391BB1">
              <w:rPr>
                <w:rFonts w:ascii="Calibri" w:eastAsia="Times New Roman" w:hAnsi="Calibri" w:cs="Calibri"/>
                <w:lang w:bidi="he-IL"/>
              </w:rPr>
              <w:t>-</w:t>
            </w:r>
          </w:p>
        </w:tc>
        <w:tc>
          <w:tcPr>
            <w:tcW w:w="1080" w:type="dxa"/>
            <w:shd w:val="clear" w:color="auto" w:fill="auto"/>
            <w:vAlign w:val="center"/>
          </w:tcPr>
          <w:p w14:paraId="7DF07532" w14:textId="18C7940C" w:rsidR="00D810CE" w:rsidRPr="00391BB1" w:rsidRDefault="00D810CE" w:rsidP="00D810CE">
            <w:pPr>
              <w:spacing w:after="0" w:line="240" w:lineRule="auto"/>
              <w:jc w:val="center"/>
              <w:rPr>
                <w:rFonts w:ascii="Calibri" w:eastAsia="Times New Roman" w:hAnsi="Calibri" w:cs="Calibri"/>
                <w:lang w:bidi="he-IL"/>
              </w:rPr>
            </w:pPr>
            <w:r w:rsidRPr="00391BB1">
              <w:rPr>
                <w:rFonts w:ascii="Calibri" w:eastAsia="Times New Roman" w:hAnsi="Calibri" w:cs="Calibri"/>
                <w:lang w:bidi="he-IL"/>
              </w:rPr>
              <w:t>$</w:t>
            </w:r>
            <w:r>
              <w:rPr>
                <w:rFonts w:ascii="Calibri" w:eastAsia="Times New Roman" w:hAnsi="Calibri" w:cs="Calibri"/>
                <w:lang w:bidi="he-IL"/>
              </w:rPr>
              <w:t>251,500</w:t>
            </w:r>
          </w:p>
        </w:tc>
        <w:tc>
          <w:tcPr>
            <w:tcW w:w="1241" w:type="dxa"/>
            <w:vAlign w:val="center"/>
          </w:tcPr>
          <w:p w14:paraId="0CCCEC27" w14:textId="2F32BA68" w:rsidR="00D810CE" w:rsidRPr="006B26F9" w:rsidRDefault="00D810CE" w:rsidP="00D810CE">
            <w:pPr>
              <w:spacing w:after="0" w:line="240" w:lineRule="auto"/>
              <w:jc w:val="center"/>
              <w:rPr>
                <w:rFonts w:ascii="Calibri" w:eastAsia="Times New Roman" w:hAnsi="Calibri" w:cs="Calibri"/>
                <w:lang w:bidi="he-IL"/>
              </w:rPr>
            </w:pPr>
            <w:r>
              <w:rPr>
                <w:rFonts w:ascii="Calibri" w:eastAsia="Times New Roman" w:hAnsi="Calibri" w:cs="Calibri"/>
                <w:lang w:bidi="he-IL"/>
              </w:rPr>
              <w:t>7/31/2025</w:t>
            </w:r>
          </w:p>
        </w:tc>
      </w:tr>
      <w:tr w:rsidR="00D810CE" w:rsidRPr="00313C85" w14:paraId="639FF2C8" w14:textId="77777777" w:rsidTr="00293B95">
        <w:trPr>
          <w:trHeight w:val="851"/>
        </w:trPr>
        <w:tc>
          <w:tcPr>
            <w:tcW w:w="1525" w:type="dxa"/>
            <w:shd w:val="clear" w:color="auto" w:fill="auto"/>
            <w:vAlign w:val="center"/>
            <w:hideMark/>
          </w:tcPr>
          <w:p w14:paraId="1AEAAA88" w14:textId="50ED96F1" w:rsidR="00D810CE" w:rsidRPr="00D810CE" w:rsidRDefault="00D810CE" w:rsidP="00D810CE">
            <w:pPr>
              <w:spacing w:after="0" w:line="240" w:lineRule="auto"/>
              <w:rPr>
                <w:rFonts w:eastAsia="Times New Roman" w:cstheme="minorHAnsi"/>
                <w:sz w:val="24"/>
                <w:szCs w:val="24"/>
                <w:lang w:bidi="he-IL"/>
              </w:rPr>
            </w:pPr>
            <w:r w:rsidRPr="00D810CE">
              <w:rPr>
                <w:rFonts w:ascii="Calibri" w:hAnsi="Calibri" w:cs="Calibri"/>
                <w:color w:val="000000"/>
                <w:sz w:val="24"/>
                <w:szCs w:val="24"/>
              </w:rPr>
              <w:t>El Mirage Water Conservation Program</w:t>
            </w:r>
          </w:p>
        </w:tc>
        <w:tc>
          <w:tcPr>
            <w:tcW w:w="4140" w:type="dxa"/>
            <w:vAlign w:val="center"/>
          </w:tcPr>
          <w:p w14:paraId="379CEB43" w14:textId="0586ED1C"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sz w:val="24"/>
                <w:szCs w:val="24"/>
              </w:rPr>
              <w:t xml:space="preserve">Comprehensive water conservation program that includes 1) Xeriscape 2) Meter Technology 3) Outreach and Education 4) Smart Software. It will allow staff to provide education and resources to residents, offering ways to reduce their water consumption and potential cost savings in addition to increased monitoring through new technologies. </w:t>
            </w:r>
          </w:p>
        </w:tc>
        <w:tc>
          <w:tcPr>
            <w:tcW w:w="1260" w:type="dxa"/>
            <w:vAlign w:val="center"/>
          </w:tcPr>
          <w:p w14:paraId="19FA4A99" w14:textId="4209D2B3" w:rsidR="00D810CE" w:rsidRPr="006B26F9" w:rsidRDefault="00D01163" w:rsidP="00D810CE">
            <w:pPr>
              <w:spacing w:after="0" w:line="240" w:lineRule="auto"/>
              <w:jc w:val="center"/>
              <w:rPr>
                <w:rFonts w:cstheme="minorHAnsi"/>
              </w:rPr>
            </w:pPr>
            <w:r>
              <w:rPr>
                <w:rFonts w:cstheme="minorHAnsi"/>
              </w:rPr>
              <w:t>2020-3116 IGA</w:t>
            </w:r>
          </w:p>
        </w:tc>
        <w:tc>
          <w:tcPr>
            <w:tcW w:w="900" w:type="dxa"/>
            <w:vAlign w:val="center"/>
          </w:tcPr>
          <w:p w14:paraId="320CA095" w14:textId="1AF1C333" w:rsidR="00D810CE" w:rsidRPr="006B26F9" w:rsidRDefault="00D810CE" w:rsidP="00D810CE">
            <w:pPr>
              <w:spacing w:after="0" w:line="240" w:lineRule="auto"/>
              <w:jc w:val="center"/>
              <w:rPr>
                <w:rFonts w:cstheme="minorHAnsi"/>
              </w:rPr>
            </w:pPr>
            <w:r>
              <w:rPr>
                <w:rFonts w:cstheme="minorHAnsi"/>
              </w:rPr>
              <w:t>-</w:t>
            </w:r>
          </w:p>
        </w:tc>
        <w:tc>
          <w:tcPr>
            <w:tcW w:w="1080" w:type="dxa"/>
            <w:shd w:val="clear" w:color="auto" w:fill="auto"/>
            <w:vAlign w:val="center"/>
            <w:hideMark/>
          </w:tcPr>
          <w:p w14:paraId="2979352B" w14:textId="7B11A58B" w:rsidR="00D810CE" w:rsidRPr="006B26F9" w:rsidRDefault="00D810CE" w:rsidP="00D810CE">
            <w:pPr>
              <w:spacing w:after="0" w:line="240" w:lineRule="auto"/>
              <w:jc w:val="center"/>
              <w:rPr>
                <w:rFonts w:eastAsia="Times New Roman" w:cstheme="minorHAnsi"/>
                <w:lang w:bidi="he-IL"/>
              </w:rPr>
            </w:pPr>
            <w:r w:rsidRPr="006B26F9">
              <w:rPr>
                <w:rFonts w:cstheme="minorHAnsi"/>
              </w:rPr>
              <w:t>$</w:t>
            </w:r>
            <w:r>
              <w:rPr>
                <w:rFonts w:cstheme="minorHAnsi"/>
              </w:rPr>
              <w:t>150,000</w:t>
            </w:r>
          </w:p>
        </w:tc>
        <w:tc>
          <w:tcPr>
            <w:tcW w:w="1241" w:type="dxa"/>
            <w:vAlign w:val="center"/>
          </w:tcPr>
          <w:p w14:paraId="29F97F93" w14:textId="576149DD" w:rsidR="00D810CE" w:rsidRPr="006B26F9" w:rsidRDefault="00D810CE" w:rsidP="00D810CE">
            <w:pPr>
              <w:spacing w:after="0" w:line="240" w:lineRule="auto"/>
              <w:jc w:val="center"/>
              <w:rPr>
                <w:rFonts w:cstheme="minorHAnsi"/>
              </w:rPr>
            </w:pPr>
            <w:r>
              <w:rPr>
                <w:rFonts w:cstheme="minorHAnsi"/>
              </w:rPr>
              <w:t>4/30/2026</w:t>
            </w:r>
          </w:p>
        </w:tc>
      </w:tr>
      <w:tr w:rsidR="00D810CE" w:rsidRPr="00313C85" w14:paraId="78C93382" w14:textId="77777777" w:rsidTr="00293B95">
        <w:trPr>
          <w:trHeight w:val="851"/>
        </w:trPr>
        <w:tc>
          <w:tcPr>
            <w:tcW w:w="1525" w:type="dxa"/>
            <w:shd w:val="clear" w:color="auto" w:fill="auto"/>
            <w:vAlign w:val="center"/>
          </w:tcPr>
          <w:p w14:paraId="718FFD31" w14:textId="45C47E15" w:rsidR="00D810CE" w:rsidRPr="00D810CE" w:rsidRDefault="00D810CE" w:rsidP="00D810CE">
            <w:pPr>
              <w:spacing w:after="0" w:line="240" w:lineRule="auto"/>
              <w:rPr>
                <w:rFonts w:cstheme="minorHAnsi"/>
                <w:sz w:val="24"/>
                <w:szCs w:val="24"/>
              </w:rPr>
            </w:pPr>
            <w:r w:rsidRPr="00D810CE">
              <w:rPr>
                <w:rFonts w:ascii="Calibri" w:hAnsi="Calibri" w:cs="Calibri"/>
                <w:color w:val="000000"/>
                <w:sz w:val="24"/>
                <w:szCs w:val="24"/>
              </w:rPr>
              <w:t>Water Efficiency Audits for HOA Common Areas and Other Irrigation Customers</w:t>
            </w:r>
          </w:p>
        </w:tc>
        <w:tc>
          <w:tcPr>
            <w:tcW w:w="4140" w:type="dxa"/>
            <w:vAlign w:val="center"/>
          </w:tcPr>
          <w:p w14:paraId="3BF14054" w14:textId="1FC569C4"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sz w:val="24"/>
                <w:szCs w:val="24"/>
              </w:rPr>
              <w:t>HOAs with suspected leaks and/or scheduling problems will be identified and offered audits. Site will be inspected, and loggers will be attached to the irrigation meters; data will be downloaded, analyzed, and summarized in a brief audit report. Follow-up will verify repairs and irrigation adjustments have been made. Water savings will be calculated using both estimates of leaks found and on before-and-after water bills.</w:t>
            </w:r>
          </w:p>
        </w:tc>
        <w:tc>
          <w:tcPr>
            <w:tcW w:w="1260" w:type="dxa"/>
            <w:vAlign w:val="center"/>
          </w:tcPr>
          <w:p w14:paraId="313DB65A" w14:textId="20DEB464" w:rsidR="00D810CE" w:rsidRDefault="00D01163" w:rsidP="00D810CE">
            <w:pPr>
              <w:spacing w:after="0" w:line="240" w:lineRule="auto"/>
              <w:jc w:val="center"/>
              <w:rPr>
                <w:rFonts w:cstheme="minorHAnsi"/>
              </w:rPr>
            </w:pPr>
            <w:r>
              <w:rPr>
                <w:rFonts w:cstheme="minorHAnsi"/>
              </w:rPr>
              <w:t>2020-3117</w:t>
            </w:r>
          </w:p>
        </w:tc>
        <w:tc>
          <w:tcPr>
            <w:tcW w:w="900" w:type="dxa"/>
            <w:vAlign w:val="center"/>
          </w:tcPr>
          <w:p w14:paraId="27895A63" w14:textId="47DA44E2" w:rsidR="00D810CE" w:rsidRPr="006B26F9" w:rsidRDefault="00D810CE" w:rsidP="00D810CE">
            <w:pPr>
              <w:spacing w:after="0" w:line="240" w:lineRule="auto"/>
              <w:jc w:val="center"/>
              <w:rPr>
                <w:rFonts w:cstheme="minorHAnsi"/>
              </w:rPr>
            </w:pPr>
            <w:r>
              <w:rPr>
                <w:rFonts w:cstheme="minorHAnsi"/>
              </w:rPr>
              <w:t>-</w:t>
            </w:r>
          </w:p>
        </w:tc>
        <w:tc>
          <w:tcPr>
            <w:tcW w:w="1080" w:type="dxa"/>
            <w:shd w:val="clear" w:color="auto" w:fill="auto"/>
            <w:vAlign w:val="center"/>
          </w:tcPr>
          <w:p w14:paraId="5B5D4A93" w14:textId="3C0EE30F" w:rsidR="00D810CE" w:rsidRPr="006B26F9" w:rsidRDefault="00D810CE" w:rsidP="00D810CE">
            <w:pPr>
              <w:spacing w:after="0" w:line="240" w:lineRule="auto"/>
              <w:jc w:val="center"/>
              <w:rPr>
                <w:rFonts w:cstheme="minorHAnsi"/>
              </w:rPr>
            </w:pPr>
            <w:r>
              <w:rPr>
                <w:rFonts w:cstheme="minorHAnsi"/>
              </w:rPr>
              <w:t>$120,000</w:t>
            </w:r>
          </w:p>
        </w:tc>
        <w:tc>
          <w:tcPr>
            <w:tcW w:w="1241" w:type="dxa"/>
            <w:vAlign w:val="center"/>
          </w:tcPr>
          <w:p w14:paraId="2502D59A" w14:textId="0DA634E2" w:rsidR="00D810CE" w:rsidRDefault="00D810CE" w:rsidP="00D810CE">
            <w:pPr>
              <w:spacing w:after="0" w:line="240" w:lineRule="auto"/>
              <w:jc w:val="center"/>
              <w:rPr>
                <w:rFonts w:cstheme="minorHAnsi"/>
              </w:rPr>
            </w:pPr>
            <w:r>
              <w:rPr>
                <w:rFonts w:cstheme="minorHAnsi"/>
              </w:rPr>
              <w:t>6/30/2023</w:t>
            </w:r>
          </w:p>
        </w:tc>
      </w:tr>
      <w:tr w:rsidR="00D810CE" w:rsidRPr="00313C85" w14:paraId="0A4FECFC" w14:textId="77777777" w:rsidTr="00293B95">
        <w:trPr>
          <w:trHeight w:val="851"/>
        </w:trPr>
        <w:tc>
          <w:tcPr>
            <w:tcW w:w="1525" w:type="dxa"/>
            <w:shd w:val="clear" w:color="auto" w:fill="auto"/>
            <w:vAlign w:val="center"/>
          </w:tcPr>
          <w:p w14:paraId="06D26042" w14:textId="5FFE42B1" w:rsidR="00D810CE" w:rsidRPr="00D810CE" w:rsidRDefault="00D810CE" w:rsidP="00D810CE">
            <w:pPr>
              <w:spacing w:after="0" w:line="240" w:lineRule="auto"/>
              <w:rPr>
                <w:rFonts w:cstheme="minorHAnsi"/>
                <w:sz w:val="24"/>
                <w:szCs w:val="24"/>
              </w:rPr>
            </w:pPr>
            <w:r w:rsidRPr="00D810CE">
              <w:rPr>
                <w:rFonts w:ascii="Calibri" w:hAnsi="Calibri" w:cs="Calibri"/>
                <w:color w:val="000000"/>
                <w:sz w:val="24"/>
                <w:szCs w:val="24"/>
              </w:rPr>
              <w:t>Bringing the Groundwater System to Light through an Education Outreach Campaign/</w:t>
            </w:r>
            <w:r w:rsidR="00293B95">
              <w:rPr>
                <w:rFonts w:ascii="Calibri" w:hAnsi="Calibri" w:cs="Calibri"/>
                <w:color w:val="000000"/>
                <w:sz w:val="24"/>
                <w:szCs w:val="24"/>
              </w:rPr>
              <w:t xml:space="preserve"> </w:t>
            </w:r>
            <w:r w:rsidRPr="00D810CE">
              <w:rPr>
                <w:rFonts w:ascii="Calibri" w:hAnsi="Calibri" w:cs="Calibri"/>
                <w:color w:val="000000"/>
                <w:sz w:val="24"/>
                <w:szCs w:val="24"/>
              </w:rPr>
              <w:t>Video Series Targeting Youth and Adults</w:t>
            </w:r>
          </w:p>
        </w:tc>
        <w:tc>
          <w:tcPr>
            <w:tcW w:w="4140" w:type="dxa"/>
            <w:vAlign w:val="center"/>
          </w:tcPr>
          <w:p w14:paraId="4FC373C8" w14:textId="3A666A03"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sz w:val="24"/>
                <w:szCs w:val="24"/>
              </w:rPr>
              <w:t>Educational Outreach Campaign, which includes an educational Video Series that builds a foundational understanding of the groundwater system, dispels common misconceptions, and explores the intricacies of groundwater management and replenishment through the Central Arizona Groundwater Replenishment District.</w:t>
            </w:r>
          </w:p>
        </w:tc>
        <w:tc>
          <w:tcPr>
            <w:tcW w:w="1260" w:type="dxa"/>
            <w:vAlign w:val="center"/>
          </w:tcPr>
          <w:p w14:paraId="183D9527" w14:textId="421D7875" w:rsidR="00D810CE" w:rsidRDefault="00D01163" w:rsidP="00D810CE">
            <w:pPr>
              <w:spacing w:after="0" w:line="240" w:lineRule="auto"/>
              <w:jc w:val="center"/>
              <w:rPr>
                <w:rFonts w:cstheme="minorHAnsi"/>
              </w:rPr>
            </w:pPr>
            <w:r>
              <w:rPr>
                <w:rFonts w:cstheme="minorHAnsi"/>
              </w:rPr>
              <w:t>2020-3118</w:t>
            </w:r>
          </w:p>
        </w:tc>
        <w:tc>
          <w:tcPr>
            <w:tcW w:w="900" w:type="dxa"/>
            <w:vAlign w:val="center"/>
          </w:tcPr>
          <w:p w14:paraId="0D8FB650" w14:textId="1B916546" w:rsidR="00D810CE" w:rsidRPr="006B26F9" w:rsidRDefault="00D810CE" w:rsidP="00D810CE">
            <w:pPr>
              <w:spacing w:after="0" w:line="240" w:lineRule="auto"/>
              <w:jc w:val="center"/>
              <w:rPr>
                <w:rFonts w:cstheme="minorHAnsi"/>
              </w:rPr>
            </w:pPr>
            <w:r>
              <w:rPr>
                <w:rFonts w:cstheme="minorHAnsi"/>
              </w:rPr>
              <w:t>-</w:t>
            </w:r>
          </w:p>
        </w:tc>
        <w:tc>
          <w:tcPr>
            <w:tcW w:w="1080" w:type="dxa"/>
            <w:shd w:val="clear" w:color="auto" w:fill="auto"/>
            <w:vAlign w:val="center"/>
          </w:tcPr>
          <w:p w14:paraId="5D51D6EE" w14:textId="7B7DBC14" w:rsidR="00D810CE" w:rsidRPr="006B26F9" w:rsidRDefault="00D810CE" w:rsidP="00D810CE">
            <w:pPr>
              <w:spacing w:after="0" w:line="240" w:lineRule="auto"/>
              <w:jc w:val="center"/>
              <w:rPr>
                <w:rFonts w:cstheme="minorHAnsi"/>
              </w:rPr>
            </w:pPr>
            <w:r>
              <w:rPr>
                <w:rFonts w:cstheme="minorHAnsi"/>
              </w:rPr>
              <w:t>$250,000</w:t>
            </w:r>
          </w:p>
        </w:tc>
        <w:tc>
          <w:tcPr>
            <w:tcW w:w="1241" w:type="dxa"/>
            <w:vAlign w:val="center"/>
          </w:tcPr>
          <w:p w14:paraId="27AF4752" w14:textId="52C9A50B" w:rsidR="00D810CE" w:rsidRDefault="00D810CE" w:rsidP="00D810CE">
            <w:pPr>
              <w:spacing w:after="0" w:line="240" w:lineRule="auto"/>
              <w:jc w:val="center"/>
              <w:rPr>
                <w:rFonts w:cstheme="minorHAnsi"/>
              </w:rPr>
            </w:pPr>
            <w:r>
              <w:rPr>
                <w:rFonts w:cstheme="minorHAnsi"/>
              </w:rPr>
              <w:t>10/31/2022</w:t>
            </w:r>
          </w:p>
        </w:tc>
      </w:tr>
      <w:tr w:rsidR="00D810CE" w:rsidRPr="00313C85" w14:paraId="3BAF1C4C" w14:textId="77777777" w:rsidTr="00293B95">
        <w:trPr>
          <w:trHeight w:val="851"/>
        </w:trPr>
        <w:tc>
          <w:tcPr>
            <w:tcW w:w="1525" w:type="dxa"/>
            <w:shd w:val="clear" w:color="auto" w:fill="auto"/>
            <w:vAlign w:val="center"/>
          </w:tcPr>
          <w:p w14:paraId="6C922C40" w14:textId="294387B5" w:rsidR="00D810CE" w:rsidRPr="00D810CE" w:rsidRDefault="00D810CE" w:rsidP="00D810CE">
            <w:pPr>
              <w:spacing w:after="0" w:line="240" w:lineRule="auto"/>
              <w:rPr>
                <w:rFonts w:cstheme="minorHAnsi"/>
                <w:sz w:val="24"/>
                <w:szCs w:val="24"/>
              </w:rPr>
            </w:pPr>
            <w:r w:rsidRPr="00D810CE">
              <w:rPr>
                <w:rFonts w:ascii="Calibri" w:hAnsi="Calibri" w:cs="Calibri"/>
                <w:color w:val="000000"/>
                <w:sz w:val="24"/>
                <w:szCs w:val="24"/>
              </w:rPr>
              <w:t>Pecan to New Magma Reclaim Water Line</w:t>
            </w:r>
          </w:p>
        </w:tc>
        <w:tc>
          <w:tcPr>
            <w:tcW w:w="4140" w:type="dxa"/>
            <w:vAlign w:val="center"/>
          </w:tcPr>
          <w:p w14:paraId="3EB88704" w14:textId="05FDB768"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sz w:val="24"/>
                <w:szCs w:val="24"/>
              </w:rPr>
              <w:t xml:space="preserve">Epcor currently provides ~2,200 AF/yr of Colorado River water to New Magma Irrigation and Drainage District. To replace CR water due to DCP reductions, Epcor will deliver ~2,200 af/yr reclaimed water to NMIDD's existing Groundwater Savings Facility to offset groundwater pumping on a gallon-for-gallon basis. </w:t>
            </w:r>
          </w:p>
        </w:tc>
        <w:tc>
          <w:tcPr>
            <w:tcW w:w="1260" w:type="dxa"/>
            <w:vAlign w:val="center"/>
          </w:tcPr>
          <w:p w14:paraId="4820705B" w14:textId="1497523D" w:rsidR="00D810CE" w:rsidRDefault="00D01163" w:rsidP="00D810CE">
            <w:pPr>
              <w:spacing w:after="0" w:line="240" w:lineRule="auto"/>
              <w:jc w:val="center"/>
              <w:rPr>
                <w:rFonts w:cstheme="minorHAnsi"/>
              </w:rPr>
            </w:pPr>
            <w:r>
              <w:rPr>
                <w:rFonts w:cstheme="minorHAnsi"/>
              </w:rPr>
              <w:t>2020-3119</w:t>
            </w:r>
          </w:p>
        </w:tc>
        <w:tc>
          <w:tcPr>
            <w:tcW w:w="900" w:type="dxa"/>
            <w:vAlign w:val="center"/>
          </w:tcPr>
          <w:p w14:paraId="1F832CFA" w14:textId="33E6F9BC" w:rsidR="00D810CE" w:rsidRPr="006B26F9" w:rsidRDefault="00D810CE" w:rsidP="00D810CE">
            <w:pPr>
              <w:spacing w:after="0" w:line="240" w:lineRule="auto"/>
              <w:jc w:val="center"/>
              <w:rPr>
                <w:rFonts w:cstheme="minorHAnsi"/>
              </w:rPr>
            </w:pPr>
            <w:r>
              <w:rPr>
                <w:rFonts w:cstheme="minorHAnsi"/>
              </w:rPr>
              <w:t>-</w:t>
            </w:r>
          </w:p>
        </w:tc>
        <w:tc>
          <w:tcPr>
            <w:tcW w:w="1080" w:type="dxa"/>
            <w:shd w:val="clear" w:color="auto" w:fill="auto"/>
            <w:vAlign w:val="center"/>
          </w:tcPr>
          <w:p w14:paraId="0661251A" w14:textId="3838F2C6" w:rsidR="00D810CE" w:rsidRPr="006B26F9" w:rsidRDefault="00D01163" w:rsidP="00D810CE">
            <w:pPr>
              <w:spacing w:after="0" w:line="240" w:lineRule="auto"/>
              <w:jc w:val="center"/>
              <w:rPr>
                <w:rFonts w:cstheme="minorHAnsi"/>
              </w:rPr>
            </w:pPr>
            <w:r>
              <w:rPr>
                <w:rFonts w:cstheme="minorHAnsi"/>
              </w:rPr>
              <w:t>$250,000</w:t>
            </w:r>
          </w:p>
        </w:tc>
        <w:tc>
          <w:tcPr>
            <w:tcW w:w="1241" w:type="dxa"/>
            <w:vAlign w:val="center"/>
          </w:tcPr>
          <w:p w14:paraId="57D90559" w14:textId="454890C9" w:rsidR="00D810CE" w:rsidRDefault="00D01163" w:rsidP="00D810CE">
            <w:pPr>
              <w:spacing w:after="0" w:line="240" w:lineRule="auto"/>
              <w:jc w:val="center"/>
              <w:rPr>
                <w:rFonts w:cstheme="minorHAnsi"/>
              </w:rPr>
            </w:pPr>
            <w:r>
              <w:rPr>
                <w:rFonts w:cstheme="minorHAnsi"/>
              </w:rPr>
              <w:t>8/31/2025</w:t>
            </w:r>
          </w:p>
        </w:tc>
      </w:tr>
      <w:tr w:rsidR="00D810CE" w:rsidRPr="00313C85" w14:paraId="67CBB66F" w14:textId="77777777" w:rsidTr="00293B95">
        <w:trPr>
          <w:trHeight w:val="851"/>
        </w:trPr>
        <w:tc>
          <w:tcPr>
            <w:tcW w:w="1525" w:type="dxa"/>
            <w:shd w:val="clear" w:color="auto" w:fill="auto"/>
            <w:vAlign w:val="center"/>
          </w:tcPr>
          <w:p w14:paraId="663A5EE4" w14:textId="1EB9FE14" w:rsidR="00D810CE" w:rsidRPr="00D810CE" w:rsidRDefault="00D810CE" w:rsidP="00D810CE">
            <w:pPr>
              <w:spacing w:after="0" w:line="240" w:lineRule="auto"/>
              <w:rPr>
                <w:rFonts w:cstheme="minorHAnsi"/>
                <w:sz w:val="24"/>
                <w:szCs w:val="24"/>
              </w:rPr>
            </w:pPr>
            <w:r w:rsidRPr="00D810CE">
              <w:rPr>
                <w:rFonts w:ascii="Calibri" w:hAnsi="Calibri" w:cs="Calibri"/>
                <w:color w:val="000000"/>
                <w:sz w:val="24"/>
                <w:szCs w:val="24"/>
              </w:rPr>
              <w:t xml:space="preserve">Leak Detection Equipment Replacement </w:t>
            </w:r>
          </w:p>
        </w:tc>
        <w:tc>
          <w:tcPr>
            <w:tcW w:w="4140" w:type="dxa"/>
            <w:vAlign w:val="center"/>
          </w:tcPr>
          <w:p w14:paraId="6857426B" w14:textId="7171BABD" w:rsidR="00D810CE" w:rsidRPr="00D810CE" w:rsidRDefault="00D810CE" w:rsidP="00D810CE">
            <w:pPr>
              <w:spacing w:after="0" w:line="240" w:lineRule="auto"/>
              <w:rPr>
                <w:rFonts w:ascii="Calibri" w:eastAsia="Times New Roman" w:hAnsi="Calibri" w:cs="Calibri"/>
                <w:sz w:val="24"/>
                <w:szCs w:val="24"/>
                <w:lang w:bidi="he-IL"/>
              </w:rPr>
            </w:pPr>
            <w:r w:rsidRPr="00D810CE">
              <w:rPr>
                <w:rFonts w:ascii="Calibri" w:hAnsi="Calibri" w:cs="Calibri"/>
                <w:sz w:val="24"/>
                <w:szCs w:val="24"/>
              </w:rPr>
              <w:t>Purchase new leak detection equipment to replace current equipment; leverage this project with its ESRI ArcGIS Field Rollout Project; The two projects work together to provide the most effective and comprehensive leak detection programs for AWC water systems.</w:t>
            </w:r>
          </w:p>
        </w:tc>
        <w:tc>
          <w:tcPr>
            <w:tcW w:w="1260" w:type="dxa"/>
            <w:vAlign w:val="center"/>
          </w:tcPr>
          <w:p w14:paraId="769BEACB" w14:textId="619C2E5C" w:rsidR="00D810CE" w:rsidRDefault="00D01163" w:rsidP="00D810CE">
            <w:pPr>
              <w:spacing w:after="0" w:line="240" w:lineRule="auto"/>
              <w:jc w:val="center"/>
              <w:rPr>
                <w:rFonts w:cstheme="minorHAnsi"/>
              </w:rPr>
            </w:pPr>
            <w:r>
              <w:rPr>
                <w:rFonts w:cstheme="minorHAnsi"/>
              </w:rPr>
              <w:t>2020-3120</w:t>
            </w:r>
          </w:p>
        </w:tc>
        <w:tc>
          <w:tcPr>
            <w:tcW w:w="900" w:type="dxa"/>
            <w:vAlign w:val="center"/>
          </w:tcPr>
          <w:p w14:paraId="568B6B7A" w14:textId="720221E0" w:rsidR="00D810CE" w:rsidRPr="006B26F9" w:rsidRDefault="00D810CE" w:rsidP="00D810CE">
            <w:pPr>
              <w:spacing w:after="0" w:line="240" w:lineRule="auto"/>
              <w:jc w:val="center"/>
              <w:rPr>
                <w:rFonts w:cstheme="minorHAnsi"/>
              </w:rPr>
            </w:pPr>
            <w:r>
              <w:rPr>
                <w:rFonts w:cstheme="minorHAnsi"/>
              </w:rPr>
              <w:t>$32,355</w:t>
            </w:r>
          </w:p>
        </w:tc>
        <w:tc>
          <w:tcPr>
            <w:tcW w:w="1080" w:type="dxa"/>
            <w:shd w:val="clear" w:color="auto" w:fill="auto"/>
            <w:vAlign w:val="center"/>
          </w:tcPr>
          <w:p w14:paraId="3DA6F95E" w14:textId="47B88AB3" w:rsidR="00D810CE" w:rsidRPr="006B26F9" w:rsidRDefault="00D01163" w:rsidP="00D810CE">
            <w:pPr>
              <w:spacing w:after="0" w:line="240" w:lineRule="auto"/>
              <w:jc w:val="center"/>
              <w:rPr>
                <w:rFonts w:cstheme="minorHAnsi"/>
              </w:rPr>
            </w:pPr>
            <w:r>
              <w:rPr>
                <w:rFonts w:cstheme="minorHAnsi"/>
              </w:rPr>
              <w:t>$60,000</w:t>
            </w:r>
          </w:p>
        </w:tc>
        <w:tc>
          <w:tcPr>
            <w:tcW w:w="1241" w:type="dxa"/>
            <w:vAlign w:val="center"/>
          </w:tcPr>
          <w:p w14:paraId="49B96104" w14:textId="2CA08B79" w:rsidR="00D810CE" w:rsidRDefault="00D01163" w:rsidP="00D810CE">
            <w:pPr>
              <w:spacing w:after="0" w:line="240" w:lineRule="auto"/>
              <w:jc w:val="center"/>
              <w:rPr>
                <w:rFonts w:cstheme="minorHAnsi"/>
              </w:rPr>
            </w:pPr>
            <w:r>
              <w:rPr>
                <w:rFonts w:cstheme="minorHAnsi"/>
              </w:rPr>
              <w:t>3/31/2026</w:t>
            </w:r>
          </w:p>
        </w:tc>
      </w:tr>
    </w:tbl>
    <w:p w14:paraId="1C761EB6" w14:textId="0A31CE55" w:rsidR="00974182" w:rsidRDefault="00974182" w:rsidP="00974182">
      <w:pPr>
        <w:spacing w:after="0" w:line="240" w:lineRule="auto"/>
        <w:jc w:val="center"/>
        <w:rPr>
          <w:rFonts w:ascii="Calibri" w:eastAsia="Times New Roman" w:hAnsi="Calibri" w:cs="Calibri"/>
          <w:b/>
          <w:bCs/>
          <w:color w:val="1C3158"/>
          <w:sz w:val="34"/>
          <w:szCs w:val="34"/>
          <w:lang w:bidi="he-IL"/>
        </w:rPr>
      </w:pPr>
    </w:p>
    <w:p w14:paraId="4A5AB726" w14:textId="65452193" w:rsidR="0038231A" w:rsidRPr="0038231A" w:rsidRDefault="0038231A" w:rsidP="0038231A">
      <w:pPr>
        <w:pStyle w:val="ListParagraph"/>
        <w:numPr>
          <w:ilvl w:val="0"/>
          <w:numId w:val="1"/>
        </w:numPr>
        <w:spacing w:after="0" w:line="240" w:lineRule="auto"/>
        <w:rPr>
          <w:rFonts w:ascii="Calibri" w:eastAsia="Times New Roman" w:hAnsi="Calibri" w:cs="Calibri"/>
          <w:b/>
          <w:bCs/>
          <w:color w:val="1C3158"/>
          <w:sz w:val="26"/>
          <w:szCs w:val="26"/>
          <w:lang w:bidi="he-IL"/>
        </w:rPr>
      </w:pPr>
      <w:r w:rsidRPr="0038231A">
        <w:rPr>
          <w:rFonts w:ascii="Calibri" w:eastAsia="Times New Roman" w:hAnsi="Calibri" w:cs="Calibri"/>
          <w:b/>
          <w:bCs/>
          <w:color w:val="1C3158"/>
          <w:sz w:val="26"/>
          <w:szCs w:val="26"/>
          <w:lang w:bidi="he-IL"/>
        </w:rPr>
        <w:t>WMAP Fund Updates</w:t>
      </w:r>
    </w:p>
    <w:p w14:paraId="33C54708" w14:textId="16BA6E52" w:rsidR="00974182" w:rsidRPr="0038231A" w:rsidRDefault="0038231A" w:rsidP="0038231A">
      <w:pPr>
        <w:pStyle w:val="ListParagraph"/>
        <w:numPr>
          <w:ilvl w:val="1"/>
          <w:numId w:val="1"/>
        </w:numPr>
        <w:spacing w:after="0" w:line="240" w:lineRule="auto"/>
        <w:rPr>
          <w:rFonts w:ascii="Calibri" w:eastAsia="Times New Roman" w:hAnsi="Calibri" w:cs="Calibri"/>
          <w:color w:val="1C3158"/>
          <w:sz w:val="26"/>
          <w:szCs w:val="26"/>
          <w:lang w:bidi="he-IL"/>
        </w:rPr>
      </w:pPr>
      <w:r w:rsidRPr="0038231A">
        <w:rPr>
          <w:rFonts w:ascii="Calibri" w:eastAsia="Times New Roman" w:hAnsi="Calibri" w:cs="Calibri"/>
          <w:color w:val="1C3158"/>
          <w:sz w:val="26"/>
          <w:szCs w:val="26"/>
          <w:lang w:bidi="he-IL"/>
        </w:rPr>
        <w:t xml:space="preserve">The current WMAP fee in the </w:t>
      </w:r>
      <w:r w:rsidR="00D01163">
        <w:rPr>
          <w:rFonts w:ascii="Calibri" w:eastAsia="Times New Roman" w:hAnsi="Calibri" w:cs="Calibri"/>
          <w:color w:val="1C3158"/>
          <w:sz w:val="26"/>
          <w:szCs w:val="26"/>
          <w:lang w:bidi="he-IL"/>
        </w:rPr>
        <w:t>Phoenix</w:t>
      </w:r>
      <w:r w:rsidRPr="0038231A">
        <w:rPr>
          <w:rFonts w:ascii="Calibri" w:eastAsia="Times New Roman" w:hAnsi="Calibri" w:cs="Calibri"/>
          <w:color w:val="1C3158"/>
          <w:sz w:val="26"/>
          <w:szCs w:val="26"/>
          <w:lang w:bidi="he-IL"/>
        </w:rPr>
        <w:t xml:space="preserve"> AMA is set at $</w:t>
      </w:r>
      <w:r w:rsidR="00D01163">
        <w:rPr>
          <w:rFonts w:ascii="Calibri" w:eastAsia="Times New Roman" w:hAnsi="Calibri" w:cs="Calibri"/>
          <w:color w:val="1C3158"/>
          <w:sz w:val="26"/>
          <w:szCs w:val="26"/>
          <w:lang w:bidi="he-IL"/>
        </w:rPr>
        <w:t>0</w:t>
      </w:r>
      <w:r w:rsidRPr="0038231A">
        <w:rPr>
          <w:rFonts w:ascii="Calibri" w:eastAsia="Times New Roman" w:hAnsi="Calibri" w:cs="Calibri"/>
          <w:color w:val="1C3158"/>
          <w:sz w:val="26"/>
          <w:szCs w:val="26"/>
          <w:lang w:bidi="he-IL"/>
        </w:rPr>
        <w:t>.25</w:t>
      </w:r>
      <w:r>
        <w:rPr>
          <w:rFonts w:ascii="Calibri" w:eastAsia="Times New Roman" w:hAnsi="Calibri" w:cs="Calibri"/>
          <w:color w:val="1C3158"/>
          <w:sz w:val="26"/>
          <w:szCs w:val="26"/>
          <w:lang w:bidi="he-IL"/>
        </w:rPr>
        <w:t xml:space="preserve"> for 2022</w:t>
      </w:r>
    </w:p>
    <w:p w14:paraId="619A56D8" w14:textId="5FAC8FA9" w:rsidR="0038231A" w:rsidRDefault="0038231A" w:rsidP="0038231A">
      <w:pPr>
        <w:pStyle w:val="ListParagraph"/>
        <w:numPr>
          <w:ilvl w:val="2"/>
          <w:numId w:val="1"/>
        </w:numPr>
        <w:spacing w:after="0" w:line="240" w:lineRule="auto"/>
        <w:rPr>
          <w:rFonts w:ascii="Calibri" w:eastAsia="Times New Roman" w:hAnsi="Calibri" w:cs="Calibri"/>
          <w:color w:val="1C3158"/>
          <w:sz w:val="26"/>
          <w:szCs w:val="26"/>
          <w:lang w:bidi="he-IL"/>
        </w:rPr>
      </w:pPr>
      <w:r w:rsidRPr="0038231A">
        <w:rPr>
          <w:rFonts w:ascii="Calibri" w:eastAsia="Times New Roman" w:hAnsi="Calibri" w:cs="Calibri"/>
          <w:color w:val="1C3158"/>
          <w:sz w:val="26"/>
          <w:szCs w:val="26"/>
          <w:lang w:bidi="he-IL"/>
        </w:rPr>
        <w:t xml:space="preserve">ADWR collects </w:t>
      </w:r>
      <w:r w:rsidR="00F90339">
        <w:rPr>
          <w:rFonts w:ascii="Calibri" w:eastAsia="Times New Roman" w:hAnsi="Calibri" w:cs="Calibri"/>
          <w:color w:val="1C3158"/>
          <w:sz w:val="26"/>
          <w:szCs w:val="26"/>
          <w:lang w:bidi="he-IL"/>
        </w:rPr>
        <w:t>~</w:t>
      </w:r>
      <w:r w:rsidRPr="0038231A">
        <w:rPr>
          <w:rFonts w:ascii="Calibri" w:eastAsia="Times New Roman" w:hAnsi="Calibri" w:cs="Calibri"/>
          <w:color w:val="1C3158"/>
          <w:sz w:val="26"/>
          <w:szCs w:val="26"/>
          <w:lang w:bidi="he-IL"/>
        </w:rPr>
        <w:t>$</w:t>
      </w:r>
      <w:r w:rsidR="00D01163">
        <w:rPr>
          <w:rFonts w:ascii="Calibri" w:eastAsia="Times New Roman" w:hAnsi="Calibri" w:cs="Calibri"/>
          <w:color w:val="1C3158"/>
          <w:sz w:val="26"/>
          <w:szCs w:val="26"/>
          <w:lang w:bidi="he-IL"/>
        </w:rPr>
        <w:t>190</w:t>
      </w:r>
      <w:r w:rsidRPr="0038231A">
        <w:rPr>
          <w:rFonts w:ascii="Calibri" w:eastAsia="Times New Roman" w:hAnsi="Calibri" w:cs="Calibri"/>
          <w:color w:val="1C3158"/>
          <w:sz w:val="26"/>
          <w:szCs w:val="26"/>
          <w:lang w:bidi="he-IL"/>
        </w:rPr>
        <w:t xml:space="preserve">,000 annually </w:t>
      </w:r>
      <w:r w:rsidR="00F90339">
        <w:rPr>
          <w:rFonts w:ascii="Calibri" w:eastAsia="Times New Roman" w:hAnsi="Calibri" w:cs="Calibri"/>
          <w:color w:val="1C3158"/>
          <w:sz w:val="26"/>
          <w:szCs w:val="26"/>
          <w:lang w:bidi="he-IL"/>
        </w:rPr>
        <w:t>at the current rate</w:t>
      </w:r>
    </w:p>
    <w:p w14:paraId="7A10374F" w14:textId="252DFB33" w:rsidR="00D80D22" w:rsidRDefault="00D80D22" w:rsidP="0038231A">
      <w:pPr>
        <w:pStyle w:val="ListParagraph"/>
        <w:numPr>
          <w:ilvl w:val="2"/>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The Phoenix WMAP currently provides $</w:t>
      </w:r>
      <w:r w:rsidR="00C7002D">
        <w:rPr>
          <w:rFonts w:ascii="Calibri" w:eastAsia="Times New Roman" w:hAnsi="Calibri" w:cs="Calibri"/>
          <w:color w:val="1C3158"/>
          <w:sz w:val="26"/>
          <w:szCs w:val="26"/>
          <w:lang w:bidi="he-IL"/>
        </w:rPr>
        <w:t>229,965</w:t>
      </w:r>
      <w:r>
        <w:rPr>
          <w:rFonts w:ascii="Calibri" w:eastAsia="Times New Roman" w:hAnsi="Calibri" w:cs="Calibri"/>
          <w:color w:val="1C3158"/>
          <w:sz w:val="26"/>
          <w:szCs w:val="26"/>
          <w:lang w:bidi="he-IL"/>
        </w:rPr>
        <w:t xml:space="preserve"> annually on long-term renewed projects</w:t>
      </w:r>
    </w:p>
    <w:p w14:paraId="4F029D81" w14:textId="6750133D" w:rsidR="00D80D22" w:rsidRDefault="00D80D22" w:rsidP="0038231A">
      <w:pPr>
        <w:pStyle w:val="ListParagraph"/>
        <w:numPr>
          <w:ilvl w:val="2"/>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This deficit eats into the WMAP account balance by $</w:t>
      </w:r>
      <w:r w:rsidR="00C7002D">
        <w:rPr>
          <w:rFonts w:ascii="Calibri" w:eastAsia="Times New Roman" w:hAnsi="Calibri" w:cs="Calibri"/>
          <w:color w:val="1C3158"/>
          <w:sz w:val="26"/>
          <w:szCs w:val="26"/>
          <w:lang w:bidi="he-IL"/>
        </w:rPr>
        <w:t>150,000 and $309,930 on alternating years</w:t>
      </w:r>
      <w:r>
        <w:rPr>
          <w:rFonts w:ascii="Calibri" w:eastAsia="Times New Roman" w:hAnsi="Calibri" w:cs="Calibri"/>
          <w:color w:val="1C3158"/>
          <w:sz w:val="26"/>
          <w:szCs w:val="26"/>
          <w:lang w:bidi="he-IL"/>
        </w:rPr>
        <w:t>.</w:t>
      </w:r>
    </w:p>
    <w:p w14:paraId="05F93EA8" w14:textId="59BF6457" w:rsidR="00F33629" w:rsidRDefault="00F33629" w:rsidP="0038231A">
      <w:pPr>
        <w:pStyle w:val="ListParagraph"/>
        <w:numPr>
          <w:ilvl w:val="2"/>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At that rate, the WMAP would be forced to reduce or eliminate funding for some projects in 20</w:t>
      </w:r>
      <w:r w:rsidR="00C7002D">
        <w:rPr>
          <w:rFonts w:ascii="Calibri" w:eastAsia="Times New Roman" w:hAnsi="Calibri" w:cs="Calibri"/>
          <w:color w:val="1C3158"/>
          <w:sz w:val="26"/>
          <w:szCs w:val="26"/>
          <w:lang w:bidi="he-IL"/>
        </w:rPr>
        <w:t>24</w:t>
      </w:r>
    </w:p>
    <w:p w14:paraId="468DA0FF" w14:textId="06A15B34" w:rsidR="000B1134" w:rsidRDefault="00F32640" w:rsidP="003A4FEA">
      <w:pPr>
        <w:pStyle w:val="ListParagraph"/>
        <w:numPr>
          <w:ilvl w:val="3"/>
          <w:numId w:val="1"/>
        </w:numPr>
        <w:spacing w:after="0" w:line="240" w:lineRule="auto"/>
        <w:rPr>
          <w:rFonts w:ascii="Calibri" w:eastAsia="Times New Roman" w:hAnsi="Calibri" w:cs="Calibri"/>
          <w:color w:val="FF0000"/>
          <w:sz w:val="26"/>
          <w:szCs w:val="26"/>
          <w:lang w:bidi="he-IL"/>
        </w:rPr>
      </w:pPr>
      <w:r w:rsidRPr="00C7002D">
        <w:rPr>
          <w:rFonts w:ascii="Calibri" w:eastAsia="Times New Roman" w:hAnsi="Calibri" w:cs="Calibri"/>
          <w:color w:val="FF0000"/>
          <w:sz w:val="26"/>
          <w:szCs w:val="26"/>
          <w:lang w:bidi="he-IL"/>
        </w:rPr>
        <w:t>If the GUAC would like to continue to fund l</w:t>
      </w:r>
      <w:r w:rsidR="00D80D22" w:rsidRPr="00C7002D">
        <w:rPr>
          <w:rFonts w:ascii="Calibri" w:eastAsia="Times New Roman" w:hAnsi="Calibri" w:cs="Calibri"/>
          <w:color w:val="FF0000"/>
          <w:sz w:val="26"/>
          <w:szCs w:val="26"/>
          <w:lang w:bidi="he-IL"/>
        </w:rPr>
        <w:t>ong funded</w:t>
      </w:r>
      <w:r w:rsidRPr="00C7002D">
        <w:rPr>
          <w:rFonts w:ascii="Calibri" w:eastAsia="Times New Roman" w:hAnsi="Calibri" w:cs="Calibri"/>
          <w:color w:val="FF0000"/>
          <w:sz w:val="26"/>
          <w:szCs w:val="26"/>
          <w:lang w:bidi="he-IL"/>
        </w:rPr>
        <w:t xml:space="preserve"> projects and new projects in the future, </w:t>
      </w:r>
      <w:r w:rsidR="00F652C7" w:rsidRPr="00C7002D">
        <w:rPr>
          <w:rFonts w:ascii="Calibri" w:eastAsia="Times New Roman" w:hAnsi="Calibri" w:cs="Calibri"/>
          <w:color w:val="FF0000"/>
          <w:sz w:val="26"/>
          <w:szCs w:val="26"/>
          <w:lang w:bidi="he-IL"/>
        </w:rPr>
        <w:t xml:space="preserve">it is suggested that the members recommend </w:t>
      </w:r>
      <w:r w:rsidR="00EF7F09" w:rsidRPr="00C7002D">
        <w:rPr>
          <w:rFonts w:ascii="Calibri" w:eastAsia="Times New Roman" w:hAnsi="Calibri" w:cs="Calibri"/>
          <w:color w:val="FF0000"/>
          <w:sz w:val="26"/>
          <w:szCs w:val="26"/>
          <w:lang w:bidi="he-IL"/>
        </w:rPr>
        <w:t>increasing</w:t>
      </w:r>
      <w:r w:rsidR="00F652C7" w:rsidRPr="00C7002D">
        <w:rPr>
          <w:rFonts w:ascii="Calibri" w:eastAsia="Times New Roman" w:hAnsi="Calibri" w:cs="Calibri"/>
          <w:color w:val="FF0000"/>
          <w:sz w:val="26"/>
          <w:szCs w:val="26"/>
          <w:lang w:bidi="he-IL"/>
        </w:rPr>
        <w:t xml:space="preserve"> </w:t>
      </w:r>
      <w:r w:rsidRPr="00C7002D">
        <w:rPr>
          <w:rFonts w:ascii="Calibri" w:eastAsia="Times New Roman" w:hAnsi="Calibri" w:cs="Calibri"/>
          <w:color w:val="FF0000"/>
          <w:sz w:val="26"/>
          <w:szCs w:val="26"/>
          <w:lang w:bidi="he-IL"/>
        </w:rPr>
        <w:t xml:space="preserve">the WMAP fee </w:t>
      </w:r>
      <w:r w:rsidR="00F652C7" w:rsidRPr="00C7002D">
        <w:rPr>
          <w:rFonts w:ascii="Calibri" w:eastAsia="Times New Roman" w:hAnsi="Calibri" w:cs="Calibri"/>
          <w:color w:val="FF0000"/>
          <w:sz w:val="26"/>
          <w:szCs w:val="26"/>
          <w:lang w:bidi="he-IL"/>
        </w:rPr>
        <w:t>to accommodate those requests</w:t>
      </w:r>
      <w:r w:rsidRPr="00C7002D">
        <w:rPr>
          <w:rFonts w:ascii="Calibri" w:eastAsia="Times New Roman" w:hAnsi="Calibri" w:cs="Calibri"/>
          <w:color w:val="FF0000"/>
          <w:sz w:val="26"/>
          <w:szCs w:val="26"/>
          <w:lang w:bidi="he-IL"/>
        </w:rPr>
        <w:t xml:space="preserve">. </w:t>
      </w:r>
    </w:p>
    <w:p w14:paraId="773489C4" w14:textId="48015CB8" w:rsidR="00C7002D" w:rsidRDefault="00C7002D" w:rsidP="00C7002D">
      <w:pPr>
        <w:spacing w:after="0" w:line="240" w:lineRule="auto"/>
        <w:rPr>
          <w:rFonts w:ascii="Calibri" w:eastAsia="Times New Roman" w:hAnsi="Calibri" w:cs="Calibri"/>
          <w:color w:val="FF0000"/>
          <w:sz w:val="26"/>
          <w:szCs w:val="26"/>
          <w:lang w:bidi="he-IL"/>
        </w:rPr>
      </w:pPr>
    </w:p>
    <w:p w14:paraId="765F124D" w14:textId="77777777" w:rsidR="00AE5308" w:rsidRDefault="000B1134" w:rsidP="000B1134">
      <w:pPr>
        <w:spacing w:after="0" w:line="240" w:lineRule="auto"/>
        <w:jc w:val="center"/>
        <w:rPr>
          <w:rFonts w:ascii="Calibri" w:eastAsia="Times New Roman" w:hAnsi="Calibri" w:cs="Calibri"/>
          <w:b/>
          <w:bCs/>
          <w:color w:val="FF0000"/>
          <w:sz w:val="26"/>
          <w:szCs w:val="26"/>
          <w:lang w:bidi="he-IL"/>
        </w:rPr>
      </w:pPr>
      <w:r w:rsidRPr="002E7E1A">
        <w:rPr>
          <w:rFonts w:ascii="Calibri" w:eastAsia="Times New Roman" w:hAnsi="Calibri" w:cs="Calibri"/>
          <w:b/>
          <w:bCs/>
          <w:color w:val="FF0000"/>
          <w:sz w:val="26"/>
          <w:szCs w:val="26"/>
          <w:lang w:bidi="he-IL"/>
        </w:rPr>
        <w:t>WMAP Fund Balance Projections at the Current Rate</w:t>
      </w:r>
    </w:p>
    <w:tbl>
      <w:tblPr>
        <w:tblW w:w="8673" w:type="dxa"/>
        <w:jc w:val="center"/>
        <w:tblLook w:val="04A0" w:firstRow="1" w:lastRow="0" w:firstColumn="1" w:lastColumn="0" w:noHBand="0" w:noVBand="1"/>
      </w:tblPr>
      <w:tblGrid>
        <w:gridCol w:w="965"/>
        <w:gridCol w:w="1829"/>
        <w:gridCol w:w="1829"/>
        <w:gridCol w:w="2422"/>
        <w:gridCol w:w="1628"/>
      </w:tblGrid>
      <w:tr w:rsidR="00AE5308" w:rsidRPr="00AE5308" w14:paraId="27E4559F" w14:textId="77777777" w:rsidTr="00AE5308">
        <w:trPr>
          <w:trHeight w:val="273"/>
          <w:jc w:val="center"/>
        </w:trPr>
        <w:tc>
          <w:tcPr>
            <w:tcW w:w="9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4D2A31"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Year</w:t>
            </w:r>
          </w:p>
        </w:tc>
        <w:tc>
          <w:tcPr>
            <w:tcW w:w="1829" w:type="dxa"/>
            <w:tcBorders>
              <w:top w:val="single" w:sz="8" w:space="0" w:color="auto"/>
              <w:left w:val="nil"/>
              <w:bottom w:val="single" w:sz="8" w:space="0" w:color="auto"/>
              <w:right w:val="single" w:sz="4" w:space="0" w:color="auto"/>
            </w:tcBorders>
            <w:shd w:val="clear" w:color="auto" w:fill="auto"/>
            <w:noWrap/>
            <w:vAlign w:val="bottom"/>
            <w:hideMark/>
          </w:tcPr>
          <w:p w14:paraId="605869E6"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WMAP Fee/AF</w:t>
            </w:r>
          </w:p>
        </w:tc>
        <w:tc>
          <w:tcPr>
            <w:tcW w:w="1829" w:type="dxa"/>
            <w:tcBorders>
              <w:top w:val="single" w:sz="8" w:space="0" w:color="auto"/>
              <w:left w:val="nil"/>
              <w:bottom w:val="single" w:sz="8" w:space="0" w:color="auto"/>
              <w:right w:val="single" w:sz="4" w:space="0" w:color="auto"/>
            </w:tcBorders>
            <w:shd w:val="clear" w:color="auto" w:fill="auto"/>
            <w:noWrap/>
            <w:vAlign w:val="bottom"/>
            <w:hideMark/>
          </w:tcPr>
          <w:p w14:paraId="3AE37D10"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WMAP Fee/Yr</w:t>
            </w:r>
          </w:p>
        </w:tc>
        <w:tc>
          <w:tcPr>
            <w:tcW w:w="2422" w:type="dxa"/>
            <w:tcBorders>
              <w:top w:val="single" w:sz="8" w:space="0" w:color="auto"/>
              <w:left w:val="nil"/>
              <w:bottom w:val="single" w:sz="8" w:space="0" w:color="auto"/>
              <w:right w:val="single" w:sz="4" w:space="0" w:color="auto"/>
            </w:tcBorders>
            <w:shd w:val="clear" w:color="auto" w:fill="auto"/>
            <w:noWrap/>
            <w:vAlign w:val="bottom"/>
            <w:hideMark/>
          </w:tcPr>
          <w:p w14:paraId="4441A6DA"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WMAP Legacy Contracts</w:t>
            </w:r>
          </w:p>
        </w:tc>
        <w:tc>
          <w:tcPr>
            <w:tcW w:w="1628" w:type="dxa"/>
            <w:tcBorders>
              <w:top w:val="single" w:sz="8" w:space="0" w:color="auto"/>
              <w:left w:val="nil"/>
              <w:bottom w:val="single" w:sz="8" w:space="0" w:color="auto"/>
              <w:right w:val="single" w:sz="8" w:space="0" w:color="auto"/>
            </w:tcBorders>
            <w:shd w:val="clear" w:color="auto" w:fill="auto"/>
            <w:noWrap/>
            <w:vAlign w:val="bottom"/>
            <w:hideMark/>
          </w:tcPr>
          <w:p w14:paraId="25AAE372"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WMAP Balance</w:t>
            </w:r>
          </w:p>
        </w:tc>
      </w:tr>
      <w:tr w:rsidR="00AE5308" w:rsidRPr="00AE5308" w14:paraId="57488281" w14:textId="77777777" w:rsidTr="00AE5308">
        <w:trPr>
          <w:trHeight w:val="262"/>
          <w:jc w:val="center"/>
        </w:trPr>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7DB579FE"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2022</w:t>
            </w:r>
          </w:p>
        </w:tc>
        <w:tc>
          <w:tcPr>
            <w:tcW w:w="1829" w:type="dxa"/>
            <w:tcBorders>
              <w:top w:val="nil"/>
              <w:left w:val="nil"/>
              <w:bottom w:val="single" w:sz="4" w:space="0" w:color="auto"/>
              <w:right w:val="single" w:sz="4" w:space="0" w:color="auto"/>
            </w:tcBorders>
            <w:shd w:val="clear" w:color="auto" w:fill="auto"/>
            <w:noWrap/>
            <w:vAlign w:val="bottom"/>
            <w:hideMark/>
          </w:tcPr>
          <w:p w14:paraId="3615FF2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4" w:space="0" w:color="auto"/>
              <w:right w:val="single" w:sz="4" w:space="0" w:color="auto"/>
            </w:tcBorders>
            <w:shd w:val="clear" w:color="auto" w:fill="auto"/>
            <w:noWrap/>
            <w:vAlign w:val="bottom"/>
            <w:hideMark/>
          </w:tcPr>
          <w:p w14:paraId="04EB75E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4" w:space="0" w:color="auto"/>
              <w:right w:val="single" w:sz="4" w:space="0" w:color="auto"/>
            </w:tcBorders>
            <w:shd w:val="clear" w:color="auto" w:fill="auto"/>
            <w:noWrap/>
            <w:vAlign w:val="bottom"/>
            <w:hideMark/>
          </w:tcPr>
          <w:p w14:paraId="58180CB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8" w:type="dxa"/>
            <w:tcBorders>
              <w:top w:val="nil"/>
              <w:left w:val="nil"/>
              <w:bottom w:val="single" w:sz="4" w:space="0" w:color="auto"/>
              <w:right w:val="single" w:sz="8" w:space="0" w:color="auto"/>
            </w:tcBorders>
            <w:shd w:val="clear" w:color="auto" w:fill="auto"/>
            <w:noWrap/>
            <w:vAlign w:val="bottom"/>
            <w:hideMark/>
          </w:tcPr>
          <w:p w14:paraId="2DACBFD8"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$174,813 </w:t>
            </w:r>
          </w:p>
        </w:tc>
      </w:tr>
      <w:tr w:rsidR="00AE5308" w:rsidRPr="00AE5308" w14:paraId="3050EFD6" w14:textId="77777777" w:rsidTr="00AE5308">
        <w:trPr>
          <w:trHeight w:val="262"/>
          <w:jc w:val="center"/>
        </w:trPr>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13C3822E"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2023</w:t>
            </w:r>
          </w:p>
        </w:tc>
        <w:tc>
          <w:tcPr>
            <w:tcW w:w="1829" w:type="dxa"/>
            <w:tcBorders>
              <w:top w:val="nil"/>
              <w:left w:val="nil"/>
              <w:bottom w:val="single" w:sz="4" w:space="0" w:color="auto"/>
              <w:right w:val="single" w:sz="4" w:space="0" w:color="auto"/>
            </w:tcBorders>
            <w:shd w:val="clear" w:color="auto" w:fill="auto"/>
            <w:noWrap/>
            <w:vAlign w:val="bottom"/>
            <w:hideMark/>
          </w:tcPr>
          <w:p w14:paraId="4E65E71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4" w:space="0" w:color="auto"/>
              <w:right w:val="single" w:sz="4" w:space="0" w:color="auto"/>
            </w:tcBorders>
            <w:shd w:val="clear" w:color="auto" w:fill="auto"/>
            <w:noWrap/>
            <w:vAlign w:val="bottom"/>
            <w:hideMark/>
          </w:tcPr>
          <w:p w14:paraId="365F490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4" w:space="0" w:color="auto"/>
              <w:right w:val="single" w:sz="4" w:space="0" w:color="auto"/>
            </w:tcBorders>
            <w:shd w:val="clear" w:color="auto" w:fill="auto"/>
            <w:noWrap/>
            <w:vAlign w:val="bottom"/>
            <w:hideMark/>
          </w:tcPr>
          <w:p w14:paraId="00816C0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($309,930)</w:t>
            </w:r>
          </w:p>
        </w:tc>
        <w:tc>
          <w:tcPr>
            <w:tcW w:w="1628" w:type="dxa"/>
            <w:tcBorders>
              <w:top w:val="nil"/>
              <w:left w:val="nil"/>
              <w:bottom w:val="single" w:sz="4" w:space="0" w:color="auto"/>
              <w:right w:val="single" w:sz="8" w:space="0" w:color="auto"/>
            </w:tcBorders>
            <w:shd w:val="clear" w:color="auto" w:fill="auto"/>
            <w:noWrap/>
            <w:vAlign w:val="bottom"/>
            <w:hideMark/>
          </w:tcPr>
          <w:p w14:paraId="001B3F1D"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$54,883 </w:t>
            </w:r>
          </w:p>
        </w:tc>
      </w:tr>
      <w:tr w:rsidR="00AE5308" w:rsidRPr="00AE5308" w14:paraId="75FF4CCC" w14:textId="77777777" w:rsidTr="00AE5308">
        <w:trPr>
          <w:trHeight w:val="262"/>
          <w:jc w:val="center"/>
        </w:trPr>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2C0DC1D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2024</w:t>
            </w:r>
          </w:p>
        </w:tc>
        <w:tc>
          <w:tcPr>
            <w:tcW w:w="1829" w:type="dxa"/>
            <w:tcBorders>
              <w:top w:val="nil"/>
              <w:left w:val="nil"/>
              <w:bottom w:val="single" w:sz="4" w:space="0" w:color="auto"/>
              <w:right w:val="single" w:sz="4" w:space="0" w:color="auto"/>
            </w:tcBorders>
            <w:shd w:val="clear" w:color="auto" w:fill="auto"/>
            <w:noWrap/>
            <w:vAlign w:val="bottom"/>
            <w:hideMark/>
          </w:tcPr>
          <w:p w14:paraId="26D2220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4" w:space="0" w:color="auto"/>
              <w:right w:val="single" w:sz="4" w:space="0" w:color="auto"/>
            </w:tcBorders>
            <w:shd w:val="clear" w:color="auto" w:fill="auto"/>
            <w:noWrap/>
            <w:vAlign w:val="bottom"/>
            <w:hideMark/>
          </w:tcPr>
          <w:p w14:paraId="667161D4"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4" w:space="0" w:color="auto"/>
              <w:right w:val="single" w:sz="4" w:space="0" w:color="auto"/>
            </w:tcBorders>
            <w:shd w:val="clear" w:color="auto" w:fill="auto"/>
            <w:noWrap/>
            <w:vAlign w:val="bottom"/>
            <w:hideMark/>
          </w:tcPr>
          <w:p w14:paraId="26C2EDB0"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8" w:type="dxa"/>
            <w:tcBorders>
              <w:top w:val="nil"/>
              <w:left w:val="nil"/>
              <w:bottom w:val="single" w:sz="4" w:space="0" w:color="auto"/>
              <w:right w:val="single" w:sz="8" w:space="0" w:color="auto"/>
            </w:tcBorders>
            <w:shd w:val="clear" w:color="auto" w:fill="auto"/>
            <w:noWrap/>
            <w:vAlign w:val="bottom"/>
            <w:hideMark/>
          </w:tcPr>
          <w:p w14:paraId="1F255374"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$94,883 </w:t>
            </w:r>
          </w:p>
        </w:tc>
      </w:tr>
      <w:tr w:rsidR="00AE5308" w:rsidRPr="00AE5308" w14:paraId="5FDA23C6" w14:textId="77777777" w:rsidTr="00AE5308">
        <w:trPr>
          <w:trHeight w:val="262"/>
          <w:jc w:val="center"/>
        </w:trPr>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5E322F22"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2025</w:t>
            </w:r>
          </w:p>
        </w:tc>
        <w:tc>
          <w:tcPr>
            <w:tcW w:w="1829" w:type="dxa"/>
            <w:tcBorders>
              <w:top w:val="nil"/>
              <w:left w:val="nil"/>
              <w:bottom w:val="single" w:sz="4" w:space="0" w:color="auto"/>
              <w:right w:val="single" w:sz="4" w:space="0" w:color="auto"/>
            </w:tcBorders>
            <w:shd w:val="clear" w:color="auto" w:fill="auto"/>
            <w:noWrap/>
            <w:vAlign w:val="bottom"/>
            <w:hideMark/>
          </w:tcPr>
          <w:p w14:paraId="46472376"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4" w:space="0" w:color="auto"/>
              <w:right w:val="single" w:sz="4" w:space="0" w:color="auto"/>
            </w:tcBorders>
            <w:shd w:val="clear" w:color="auto" w:fill="auto"/>
            <w:noWrap/>
            <w:vAlign w:val="bottom"/>
            <w:hideMark/>
          </w:tcPr>
          <w:p w14:paraId="3228463A"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4" w:space="0" w:color="auto"/>
              <w:right w:val="single" w:sz="4" w:space="0" w:color="auto"/>
            </w:tcBorders>
            <w:shd w:val="clear" w:color="auto" w:fill="auto"/>
            <w:noWrap/>
            <w:vAlign w:val="bottom"/>
            <w:hideMark/>
          </w:tcPr>
          <w:p w14:paraId="4E1AE92D"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($309,930)</w:t>
            </w:r>
          </w:p>
        </w:tc>
        <w:tc>
          <w:tcPr>
            <w:tcW w:w="1628" w:type="dxa"/>
            <w:tcBorders>
              <w:top w:val="nil"/>
              <w:left w:val="nil"/>
              <w:bottom w:val="single" w:sz="4" w:space="0" w:color="auto"/>
              <w:right w:val="single" w:sz="8" w:space="0" w:color="auto"/>
            </w:tcBorders>
            <w:shd w:val="clear" w:color="auto" w:fill="auto"/>
            <w:noWrap/>
            <w:vAlign w:val="bottom"/>
            <w:hideMark/>
          </w:tcPr>
          <w:p w14:paraId="79702F7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($25,047)</w:t>
            </w:r>
          </w:p>
        </w:tc>
      </w:tr>
      <w:tr w:rsidR="00AE5308" w:rsidRPr="00AE5308" w14:paraId="5B38A852" w14:textId="77777777" w:rsidTr="00AE5308">
        <w:trPr>
          <w:trHeight w:val="262"/>
          <w:jc w:val="center"/>
        </w:trPr>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4E9B55A5"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2026</w:t>
            </w:r>
          </w:p>
        </w:tc>
        <w:tc>
          <w:tcPr>
            <w:tcW w:w="1829" w:type="dxa"/>
            <w:tcBorders>
              <w:top w:val="nil"/>
              <w:left w:val="nil"/>
              <w:bottom w:val="single" w:sz="4" w:space="0" w:color="auto"/>
              <w:right w:val="single" w:sz="4" w:space="0" w:color="auto"/>
            </w:tcBorders>
            <w:shd w:val="clear" w:color="auto" w:fill="auto"/>
            <w:noWrap/>
            <w:vAlign w:val="bottom"/>
            <w:hideMark/>
          </w:tcPr>
          <w:p w14:paraId="3831784E"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4" w:space="0" w:color="auto"/>
              <w:right w:val="single" w:sz="4" w:space="0" w:color="auto"/>
            </w:tcBorders>
            <w:shd w:val="clear" w:color="auto" w:fill="auto"/>
            <w:noWrap/>
            <w:vAlign w:val="bottom"/>
            <w:hideMark/>
          </w:tcPr>
          <w:p w14:paraId="5CE10840"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4" w:space="0" w:color="auto"/>
              <w:right w:val="single" w:sz="4" w:space="0" w:color="auto"/>
            </w:tcBorders>
            <w:shd w:val="clear" w:color="auto" w:fill="auto"/>
            <w:noWrap/>
            <w:vAlign w:val="bottom"/>
            <w:hideMark/>
          </w:tcPr>
          <w:p w14:paraId="400656C4"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8" w:type="dxa"/>
            <w:tcBorders>
              <w:top w:val="nil"/>
              <w:left w:val="nil"/>
              <w:bottom w:val="single" w:sz="4" w:space="0" w:color="auto"/>
              <w:right w:val="single" w:sz="8" w:space="0" w:color="auto"/>
            </w:tcBorders>
            <w:shd w:val="clear" w:color="auto" w:fill="auto"/>
            <w:noWrap/>
            <w:vAlign w:val="bottom"/>
            <w:hideMark/>
          </w:tcPr>
          <w:p w14:paraId="4E3B7D0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$14,953 </w:t>
            </w:r>
          </w:p>
        </w:tc>
      </w:tr>
      <w:tr w:rsidR="00AE5308" w:rsidRPr="00AE5308" w14:paraId="4A3CA9EB" w14:textId="77777777" w:rsidTr="00AE5308">
        <w:trPr>
          <w:trHeight w:val="262"/>
          <w:jc w:val="center"/>
        </w:trPr>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279E3AC4"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2027</w:t>
            </w:r>
          </w:p>
        </w:tc>
        <w:tc>
          <w:tcPr>
            <w:tcW w:w="1829" w:type="dxa"/>
            <w:tcBorders>
              <w:top w:val="nil"/>
              <w:left w:val="nil"/>
              <w:bottom w:val="single" w:sz="4" w:space="0" w:color="auto"/>
              <w:right w:val="single" w:sz="4" w:space="0" w:color="auto"/>
            </w:tcBorders>
            <w:shd w:val="clear" w:color="auto" w:fill="auto"/>
            <w:noWrap/>
            <w:vAlign w:val="bottom"/>
            <w:hideMark/>
          </w:tcPr>
          <w:p w14:paraId="7C413708"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4" w:space="0" w:color="auto"/>
              <w:right w:val="single" w:sz="4" w:space="0" w:color="auto"/>
            </w:tcBorders>
            <w:shd w:val="clear" w:color="auto" w:fill="auto"/>
            <w:noWrap/>
            <w:vAlign w:val="bottom"/>
            <w:hideMark/>
          </w:tcPr>
          <w:p w14:paraId="6CE93932"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4" w:space="0" w:color="auto"/>
              <w:right w:val="single" w:sz="4" w:space="0" w:color="auto"/>
            </w:tcBorders>
            <w:shd w:val="clear" w:color="auto" w:fill="auto"/>
            <w:noWrap/>
            <w:vAlign w:val="bottom"/>
            <w:hideMark/>
          </w:tcPr>
          <w:p w14:paraId="4A4426C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($309,930)</w:t>
            </w:r>
          </w:p>
        </w:tc>
        <w:tc>
          <w:tcPr>
            <w:tcW w:w="1628" w:type="dxa"/>
            <w:tcBorders>
              <w:top w:val="nil"/>
              <w:left w:val="nil"/>
              <w:bottom w:val="single" w:sz="4" w:space="0" w:color="auto"/>
              <w:right w:val="single" w:sz="8" w:space="0" w:color="auto"/>
            </w:tcBorders>
            <w:shd w:val="clear" w:color="auto" w:fill="auto"/>
            <w:noWrap/>
            <w:vAlign w:val="bottom"/>
            <w:hideMark/>
          </w:tcPr>
          <w:p w14:paraId="3390849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($104,977)</w:t>
            </w:r>
          </w:p>
        </w:tc>
      </w:tr>
      <w:tr w:rsidR="00AE5308" w:rsidRPr="00AE5308" w14:paraId="3A13013F" w14:textId="77777777" w:rsidTr="00AE5308">
        <w:trPr>
          <w:trHeight w:val="262"/>
          <w:jc w:val="center"/>
        </w:trPr>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144F7444"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2028</w:t>
            </w:r>
          </w:p>
        </w:tc>
        <w:tc>
          <w:tcPr>
            <w:tcW w:w="1829" w:type="dxa"/>
            <w:tcBorders>
              <w:top w:val="nil"/>
              <w:left w:val="nil"/>
              <w:bottom w:val="single" w:sz="4" w:space="0" w:color="auto"/>
              <w:right w:val="single" w:sz="4" w:space="0" w:color="auto"/>
            </w:tcBorders>
            <w:shd w:val="clear" w:color="auto" w:fill="auto"/>
            <w:noWrap/>
            <w:vAlign w:val="bottom"/>
            <w:hideMark/>
          </w:tcPr>
          <w:p w14:paraId="472C0AA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4" w:space="0" w:color="auto"/>
              <w:right w:val="single" w:sz="4" w:space="0" w:color="auto"/>
            </w:tcBorders>
            <w:shd w:val="clear" w:color="auto" w:fill="auto"/>
            <w:noWrap/>
            <w:vAlign w:val="bottom"/>
            <w:hideMark/>
          </w:tcPr>
          <w:p w14:paraId="7FA17A1D"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4" w:space="0" w:color="auto"/>
              <w:right w:val="single" w:sz="4" w:space="0" w:color="auto"/>
            </w:tcBorders>
            <w:shd w:val="clear" w:color="auto" w:fill="auto"/>
            <w:noWrap/>
            <w:vAlign w:val="bottom"/>
            <w:hideMark/>
          </w:tcPr>
          <w:p w14:paraId="70D69561"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8" w:type="dxa"/>
            <w:tcBorders>
              <w:top w:val="nil"/>
              <w:left w:val="nil"/>
              <w:bottom w:val="single" w:sz="4" w:space="0" w:color="auto"/>
              <w:right w:val="single" w:sz="8" w:space="0" w:color="auto"/>
            </w:tcBorders>
            <w:shd w:val="clear" w:color="auto" w:fill="auto"/>
            <w:noWrap/>
            <w:vAlign w:val="bottom"/>
            <w:hideMark/>
          </w:tcPr>
          <w:p w14:paraId="732DAB56"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($64,977)</w:t>
            </w:r>
          </w:p>
        </w:tc>
      </w:tr>
      <w:tr w:rsidR="00AE5308" w:rsidRPr="00AE5308" w14:paraId="7DFF25D0" w14:textId="77777777" w:rsidTr="00AE5308">
        <w:trPr>
          <w:trHeight w:val="262"/>
          <w:jc w:val="center"/>
        </w:trPr>
        <w:tc>
          <w:tcPr>
            <w:tcW w:w="965" w:type="dxa"/>
            <w:tcBorders>
              <w:top w:val="nil"/>
              <w:left w:val="single" w:sz="8" w:space="0" w:color="auto"/>
              <w:bottom w:val="single" w:sz="4" w:space="0" w:color="auto"/>
              <w:right w:val="single" w:sz="4" w:space="0" w:color="auto"/>
            </w:tcBorders>
            <w:shd w:val="clear" w:color="auto" w:fill="auto"/>
            <w:noWrap/>
            <w:vAlign w:val="bottom"/>
            <w:hideMark/>
          </w:tcPr>
          <w:p w14:paraId="0623A33C"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2029</w:t>
            </w:r>
          </w:p>
        </w:tc>
        <w:tc>
          <w:tcPr>
            <w:tcW w:w="1829" w:type="dxa"/>
            <w:tcBorders>
              <w:top w:val="nil"/>
              <w:left w:val="nil"/>
              <w:bottom w:val="single" w:sz="4" w:space="0" w:color="auto"/>
              <w:right w:val="single" w:sz="4" w:space="0" w:color="auto"/>
            </w:tcBorders>
            <w:shd w:val="clear" w:color="auto" w:fill="auto"/>
            <w:noWrap/>
            <w:vAlign w:val="bottom"/>
            <w:hideMark/>
          </w:tcPr>
          <w:p w14:paraId="2039E401"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4" w:space="0" w:color="auto"/>
              <w:right w:val="single" w:sz="4" w:space="0" w:color="auto"/>
            </w:tcBorders>
            <w:shd w:val="clear" w:color="auto" w:fill="auto"/>
            <w:noWrap/>
            <w:vAlign w:val="bottom"/>
            <w:hideMark/>
          </w:tcPr>
          <w:p w14:paraId="67ECBE7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4" w:space="0" w:color="auto"/>
              <w:right w:val="single" w:sz="4" w:space="0" w:color="auto"/>
            </w:tcBorders>
            <w:shd w:val="clear" w:color="auto" w:fill="auto"/>
            <w:noWrap/>
            <w:vAlign w:val="bottom"/>
            <w:hideMark/>
          </w:tcPr>
          <w:p w14:paraId="00540612"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($309,930)</w:t>
            </w:r>
          </w:p>
        </w:tc>
        <w:tc>
          <w:tcPr>
            <w:tcW w:w="1628" w:type="dxa"/>
            <w:tcBorders>
              <w:top w:val="nil"/>
              <w:left w:val="nil"/>
              <w:bottom w:val="single" w:sz="4" w:space="0" w:color="auto"/>
              <w:right w:val="single" w:sz="8" w:space="0" w:color="auto"/>
            </w:tcBorders>
            <w:shd w:val="clear" w:color="auto" w:fill="auto"/>
            <w:noWrap/>
            <w:vAlign w:val="bottom"/>
            <w:hideMark/>
          </w:tcPr>
          <w:p w14:paraId="3279996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($184,907)</w:t>
            </w:r>
          </w:p>
        </w:tc>
      </w:tr>
      <w:tr w:rsidR="00AE5308" w:rsidRPr="00AE5308" w14:paraId="1852359B" w14:textId="77777777" w:rsidTr="00AE5308">
        <w:trPr>
          <w:trHeight w:val="273"/>
          <w:jc w:val="center"/>
        </w:trPr>
        <w:tc>
          <w:tcPr>
            <w:tcW w:w="965" w:type="dxa"/>
            <w:tcBorders>
              <w:top w:val="nil"/>
              <w:left w:val="single" w:sz="8" w:space="0" w:color="auto"/>
              <w:bottom w:val="single" w:sz="8" w:space="0" w:color="auto"/>
              <w:right w:val="single" w:sz="4" w:space="0" w:color="auto"/>
            </w:tcBorders>
            <w:shd w:val="clear" w:color="auto" w:fill="auto"/>
            <w:noWrap/>
            <w:vAlign w:val="bottom"/>
            <w:hideMark/>
          </w:tcPr>
          <w:p w14:paraId="405A8E8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2030</w:t>
            </w:r>
          </w:p>
        </w:tc>
        <w:tc>
          <w:tcPr>
            <w:tcW w:w="1829" w:type="dxa"/>
            <w:tcBorders>
              <w:top w:val="nil"/>
              <w:left w:val="nil"/>
              <w:bottom w:val="single" w:sz="8" w:space="0" w:color="auto"/>
              <w:right w:val="single" w:sz="4" w:space="0" w:color="auto"/>
            </w:tcBorders>
            <w:shd w:val="clear" w:color="auto" w:fill="auto"/>
            <w:noWrap/>
            <w:vAlign w:val="bottom"/>
            <w:hideMark/>
          </w:tcPr>
          <w:p w14:paraId="6D1AB585"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0.25</w:t>
            </w:r>
          </w:p>
        </w:tc>
        <w:tc>
          <w:tcPr>
            <w:tcW w:w="1829" w:type="dxa"/>
            <w:tcBorders>
              <w:top w:val="nil"/>
              <w:left w:val="nil"/>
              <w:bottom w:val="single" w:sz="8" w:space="0" w:color="auto"/>
              <w:right w:val="single" w:sz="4" w:space="0" w:color="auto"/>
            </w:tcBorders>
            <w:shd w:val="clear" w:color="auto" w:fill="auto"/>
            <w:noWrap/>
            <w:vAlign w:val="bottom"/>
            <w:hideMark/>
          </w:tcPr>
          <w:p w14:paraId="34B29F6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22" w:type="dxa"/>
            <w:tcBorders>
              <w:top w:val="nil"/>
              <w:left w:val="nil"/>
              <w:bottom w:val="single" w:sz="8" w:space="0" w:color="auto"/>
              <w:right w:val="single" w:sz="4" w:space="0" w:color="auto"/>
            </w:tcBorders>
            <w:shd w:val="clear" w:color="auto" w:fill="auto"/>
            <w:noWrap/>
            <w:vAlign w:val="bottom"/>
            <w:hideMark/>
          </w:tcPr>
          <w:p w14:paraId="439A4ECB"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8" w:type="dxa"/>
            <w:tcBorders>
              <w:top w:val="nil"/>
              <w:left w:val="nil"/>
              <w:bottom w:val="single" w:sz="8" w:space="0" w:color="auto"/>
              <w:right w:val="single" w:sz="8" w:space="0" w:color="auto"/>
            </w:tcBorders>
            <w:shd w:val="clear" w:color="auto" w:fill="auto"/>
            <w:noWrap/>
            <w:vAlign w:val="bottom"/>
            <w:hideMark/>
          </w:tcPr>
          <w:p w14:paraId="11CD9EC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($144,907)</w:t>
            </w:r>
          </w:p>
        </w:tc>
      </w:tr>
    </w:tbl>
    <w:p w14:paraId="104F09DB" w14:textId="77777777" w:rsidR="00AE5308" w:rsidRDefault="00AE5308" w:rsidP="000B1134">
      <w:pPr>
        <w:spacing w:after="0" w:line="240" w:lineRule="auto"/>
        <w:jc w:val="center"/>
        <w:rPr>
          <w:rFonts w:ascii="Calibri" w:eastAsia="Times New Roman" w:hAnsi="Calibri" w:cs="Calibri"/>
          <w:b/>
          <w:bCs/>
          <w:color w:val="FF0000"/>
          <w:sz w:val="26"/>
          <w:szCs w:val="26"/>
          <w:lang w:bidi="he-IL"/>
        </w:rPr>
      </w:pPr>
    </w:p>
    <w:p w14:paraId="78F1F68F" w14:textId="07101DAC" w:rsidR="000B1134" w:rsidRDefault="00C7002D" w:rsidP="000B1134">
      <w:pPr>
        <w:spacing w:after="0" w:line="240" w:lineRule="auto"/>
        <w:jc w:val="center"/>
        <w:rPr>
          <w:rFonts w:ascii="Calibri" w:eastAsia="Times New Roman" w:hAnsi="Calibri" w:cs="Calibri"/>
          <w:color w:val="FF0000"/>
          <w:sz w:val="26"/>
          <w:szCs w:val="26"/>
          <w:lang w:bidi="he-IL"/>
        </w:rPr>
      </w:pPr>
      <w:r>
        <w:rPr>
          <w:noProof/>
        </w:rPr>
        <w:drawing>
          <wp:inline distT="0" distB="0" distL="0" distR="0" wp14:anchorId="66FF889F" wp14:editId="3307BE30">
            <wp:extent cx="5524500" cy="2171700"/>
            <wp:effectExtent l="0" t="0" r="0" b="0"/>
            <wp:docPr id="9" name="Chart 9">
              <a:extLst xmlns:a="http://schemas.openxmlformats.org/drawingml/2006/main">
                <a:ext uri="{FF2B5EF4-FFF2-40B4-BE49-F238E27FC236}">
                  <a16:creationId xmlns:a16="http://schemas.microsoft.com/office/drawing/2014/main" id="{9B4DC523-3311-F9AF-60D0-21E11BED58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037379A" w14:textId="715CE5EF" w:rsidR="000B1134" w:rsidRDefault="000B1134" w:rsidP="000B1134">
      <w:pPr>
        <w:spacing w:after="0" w:line="240" w:lineRule="auto"/>
        <w:jc w:val="center"/>
        <w:rPr>
          <w:rFonts w:ascii="Calibri" w:eastAsia="Times New Roman" w:hAnsi="Calibri" w:cs="Calibri"/>
          <w:color w:val="FF0000"/>
          <w:sz w:val="26"/>
          <w:szCs w:val="26"/>
          <w:lang w:bidi="he-IL"/>
        </w:rPr>
      </w:pPr>
    </w:p>
    <w:p w14:paraId="7C1D0B2A" w14:textId="4B180596" w:rsidR="00AE5308" w:rsidRDefault="00AE5308" w:rsidP="000B1134">
      <w:pPr>
        <w:spacing w:after="0" w:line="240" w:lineRule="auto"/>
        <w:jc w:val="center"/>
        <w:rPr>
          <w:rFonts w:ascii="Calibri" w:eastAsia="Times New Roman" w:hAnsi="Calibri" w:cs="Calibri"/>
          <w:b/>
          <w:bCs/>
          <w:color w:val="FF0000"/>
          <w:sz w:val="26"/>
          <w:szCs w:val="26"/>
          <w:lang w:bidi="he-IL"/>
        </w:rPr>
      </w:pPr>
    </w:p>
    <w:p w14:paraId="739B36A3" w14:textId="77777777" w:rsidR="00AE5308" w:rsidRDefault="00AE5308" w:rsidP="000B1134">
      <w:pPr>
        <w:spacing w:after="0" w:line="240" w:lineRule="auto"/>
        <w:jc w:val="center"/>
        <w:rPr>
          <w:rFonts w:ascii="Calibri" w:eastAsia="Times New Roman" w:hAnsi="Calibri" w:cs="Calibri"/>
          <w:b/>
          <w:bCs/>
          <w:color w:val="FF0000"/>
          <w:sz w:val="26"/>
          <w:szCs w:val="26"/>
          <w:lang w:bidi="he-IL"/>
        </w:rPr>
      </w:pPr>
    </w:p>
    <w:p w14:paraId="0F0CC1EF" w14:textId="4FF16E30" w:rsidR="000B1134" w:rsidRDefault="000B1134" w:rsidP="000B1134">
      <w:pPr>
        <w:spacing w:after="0" w:line="240" w:lineRule="auto"/>
        <w:jc w:val="center"/>
        <w:rPr>
          <w:rFonts w:ascii="Calibri" w:eastAsia="Times New Roman" w:hAnsi="Calibri" w:cs="Calibri"/>
          <w:b/>
          <w:bCs/>
          <w:color w:val="FF0000"/>
          <w:sz w:val="26"/>
          <w:szCs w:val="26"/>
          <w:lang w:bidi="he-IL"/>
        </w:rPr>
      </w:pPr>
      <w:r w:rsidRPr="002E7E1A">
        <w:rPr>
          <w:rFonts w:ascii="Calibri" w:eastAsia="Times New Roman" w:hAnsi="Calibri" w:cs="Calibri"/>
          <w:b/>
          <w:bCs/>
          <w:color w:val="FF0000"/>
          <w:sz w:val="26"/>
          <w:szCs w:val="26"/>
          <w:lang w:bidi="he-IL"/>
        </w:rPr>
        <w:t>WMAP Fund Balance Projections a</w:t>
      </w:r>
      <w:r w:rsidRPr="002E7E1A">
        <w:rPr>
          <w:rFonts w:ascii="Calibri" w:eastAsia="Times New Roman" w:hAnsi="Calibri" w:cs="Calibri"/>
          <w:b/>
          <w:bCs/>
          <w:color w:val="FF0000"/>
          <w:sz w:val="26"/>
          <w:szCs w:val="26"/>
          <w:lang w:bidi="he-IL"/>
        </w:rPr>
        <w:t>t $0.35/AF</w:t>
      </w:r>
    </w:p>
    <w:tbl>
      <w:tblPr>
        <w:tblW w:w="8540" w:type="dxa"/>
        <w:jc w:val="center"/>
        <w:tblLook w:val="04A0" w:firstRow="1" w:lastRow="0" w:firstColumn="1" w:lastColumn="0" w:noHBand="0" w:noVBand="1"/>
      </w:tblPr>
      <w:tblGrid>
        <w:gridCol w:w="918"/>
        <w:gridCol w:w="1740"/>
        <w:gridCol w:w="1740"/>
        <w:gridCol w:w="2522"/>
        <w:gridCol w:w="1620"/>
      </w:tblGrid>
      <w:tr w:rsidR="00C7002D" w:rsidRPr="00C7002D" w14:paraId="2E84BB59" w14:textId="77777777" w:rsidTr="00AE5308">
        <w:trPr>
          <w:trHeight w:val="295"/>
          <w:jc w:val="center"/>
        </w:trPr>
        <w:tc>
          <w:tcPr>
            <w:tcW w:w="91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B847663" w14:textId="77777777" w:rsidR="00C7002D" w:rsidRPr="00C7002D" w:rsidRDefault="00C7002D" w:rsidP="00C7002D">
            <w:pPr>
              <w:spacing w:after="0" w:line="240" w:lineRule="auto"/>
              <w:rPr>
                <w:rFonts w:ascii="Calibri" w:eastAsia="Times New Roman" w:hAnsi="Calibri" w:cs="Calibri"/>
                <w:color w:val="000000"/>
              </w:rPr>
            </w:pPr>
            <w:r w:rsidRPr="00C7002D">
              <w:rPr>
                <w:rFonts w:ascii="Calibri" w:eastAsia="Times New Roman" w:hAnsi="Calibri" w:cs="Calibri"/>
                <w:color w:val="000000"/>
              </w:rPr>
              <w:t>Year</w:t>
            </w:r>
          </w:p>
        </w:tc>
        <w:tc>
          <w:tcPr>
            <w:tcW w:w="1740" w:type="dxa"/>
            <w:tcBorders>
              <w:top w:val="single" w:sz="8" w:space="0" w:color="auto"/>
              <w:left w:val="nil"/>
              <w:bottom w:val="single" w:sz="8" w:space="0" w:color="auto"/>
              <w:right w:val="single" w:sz="4" w:space="0" w:color="auto"/>
            </w:tcBorders>
            <w:shd w:val="clear" w:color="auto" w:fill="auto"/>
            <w:noWrap/>
            <w:vAlign w:val="bottom"/>
            <w:hideMark/>
          </w:tcPr>
          <w:p w14:paraId="43BE6724" w14:textId="77777777" w:rsidR="00C7002D" w:rsidRPr="00C7002D" w:rsidRDefault="00C7002D" w:rsidP="00C7002D">
            <w:pPr>
              <w:spacing w:after="0" w:line="240" w:lineRule="auto"/>
              <w:rPr>
                <w:rFonts w:ascii="Calibri" w:eastAsia="Times New Roman" w:hAnsi="Calibri" w:cs="Calibri"/>
                <w:color w:val="000000"/>
              </w:rPr>
            </w:pPr>
            <w:r w:rsidRPr="00C7002D">
              <w:rPr>
                <w:rFonts w:ascii="Calibri" w:eastAsia="Times New Roman" w:hAnsi="Calibri" w:cs="Calibri"/>
                <w:color w:val="000000"/>
              </w:rPr>
              <w:t>WMAP Fee/AF</w:t>
            </w:r>
          </w:p>
        </w:tc>
        <w:tc>
          <w:tcPr>
            <w:tcW w:w="1740" w:type="dxa"/>
            <w:tcBorders>
              <w:top w:val="single" w:sz="8" w:space="0" w:color="auto"/>
              <w:left w:val="nil"/>
              <w:bottom w:val="single" w:sz="8" w:space="0" w:color="auto"/>
              <w:right w:val="single" w:sz="4" w:space="0" w:color="auto"/>
            </w:tcBorders>
            <w:shd w:val="clear" w:color="auto" w:fill="auto"/>
            <w:noWrap/>
            <w:vAlign w:val="bottom"/>
            <w:hideMark/>
          </w:tcPr>
          <w:p w14:paraId="7A87AC3D" w14:textId="77777777" w:rsidR="00C7002D" w:rsidRPr="00C7002D" w:rsidRDefault="00C7002D" w:rsidP="00C7002D">
            <w:pPr>
              <w:spacing w:after="0" w:line="240" w:lineRule="auto"/>
              <w:rPr>
                <w:rFonts w:ascii="Calibri" w:eastAsia="Times New Roman" w:hAnsi="Calibri" w:cs="Calibri"/>
                <w:color w:val="000000"/>
              </w:rPr>
            </w:pPr>
            <w:r w:rsidRPr="00C7002D">
              <w:rPr>
                <w:rFonts w:ascii="Calibri" w:eastAsia="Times New Roman" w:hAnsi="Calibri" w:cs="Calibri"/>
                <w:color w:val="000000"/>
              </w:rPr>
              <w:t>WMAP Fee/Yr</w:t>
            </w:r>
          </w:p>
        </w:tc>
        <w:tc>
          <w:tcPr>
            <w:tcW w:w="2522" w:type="dxa"/>
            <w:tcBorders>
              <w:top w:val="single" w:sz="8" w:space="0" w:color="auto"/>
              <w:left w:val="nil"/>
              <w:bottom w:val="single" w:sz="8" w:space="0" w:color="auto"/>
              <w:right w:val="single" w:sz="4" w:space="0" w:color="auto"/>
            </w:tcBorders>
            <w:shd w:val="clear" w:color="auto" w:fill="auto"/>
            <w:noWrap/>
            <w:vAlign w:val="bottom"/>
            <w:hideMark/>
          </w:tcPr>
          <w:p w14:paraId="41E78A09" w14:textId="77777777" w:rsidR="00C7002D" w:rsidRPr="00C7002D" w:rsidRDefault="00C7002D" w:rsidP="00C7002D">
            <w:pPr>
              <w:spacing w:after="0" w:line="240" w:lineRule="auto"/>
              <w:rPr>
                <w:rFonts w:ascii="Calibri" w:eastAsia="Times New Roman" w:hAnsi="Calibri" w:cs="Calibri"/>
                <w:color w:val="000000"/>
              </w:rPr>
            </w:pPr>
            <w:r w:rsidRPr="00C7002D">
              <w:rPr>
                <w:rFonts w:ascii="Calibri" w:eastAsia="Times New Roman" w:hAnsi="Calibri" w:cs="Calibri"/>
                <w:color w:val="000000"/>
              </w:rPr>
              <w:t>WMAP Legacy Contracts</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6AA74812" w14:textId="77777777" w:rsidR="00C7002D" w:rsidRPr="00C7002D" w:rsidRDefault="00C7002D" w:rsidP="00C7002D">
            <w:pPr>
              <w:spacing w:after="0" w:line="240" w:lineRule="auto"/>
              <w:rPr>
                <w:rFonts w:ascii="Calibri" w:eastAsia="Times New Roman" w:hAnsi="Calibri" w:cs="Calibri"/>
                <w:color w:val="000000"/>
              </w:rPr>
            </w:pPr>
            <w:r w:rsidRPr="00C7002D">
              <w:rPr>
                <w:rFonts w:ascii="Calibri" w:eastAsia="Times New Roman" w:hAnsi="Calibri" w:cs="Calibri"/>
                <w:color w:val="000000"/>
              </w:rPr>
              <w:t>WMAP Balance</w:t>
            </w:r>
          </w:p>
        </w:tc>
      </w:tr>
      <w:tr w:rsidR="00C7002D" w:rsidRPr="00C7002D" w14:paraId="42464415" w14:textId="77777777" w:rsidTr="00AE5308">
        <w:trPr>
          <w:trHeight w:val="284"/>
          <w:jc w:val="center"/>
        </w:trPr>
        <w:tc>
          <w:tcPr>
            <w:tcW w:w="918" w:type="dxa"/>
            <w:tcBorders>
              <w:top w:val="nil"/>
              <w:left w:val="single" w:sz="8" w:space="0" w:color="auto"/>
              <w:bottom w:val="single" w:sz="4" w:space="0" w:color="auto"/>
              <w:right w:val="single" w:sz="4" w:space="0" w:color="auto"/>
            </w:tcBorders>
            <w:shd w:val="clear" w:color="auto" w:fill="auto"/>
            <w:noWrap/>
            <w:vAlign w:val="bottom"/>
            <w:hideMark/>
          </w:tcPr>
          <w:p w14:paraId="351412E2"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2022</w:t>
            </w:r>
          </w:p>
        </w:tc>
        <w:tc>
          <w:tcPr>
            <w:tcW w:w="1740" w:type="dxa"/>
            <w:tcBorders>
              <w:top w:val="nil"/>
              <w:left w:val="nil"/>
              <w:bottom w:val="single" w:sz="4" w:space="0" w:color="auto"/>
              <w:right w:val="single" w:sz="4" w:space="0" w:color="auto"/>
            </w:tcBorders>
            <w:shd w:val="clear" w:color="auto" w:fill="auto"/>
            <w:noWrap/>
            <w:vAlign w:val="bottom"/>
            <w:hideMark/>
          </w:tcPr>
          <w:p w14:paraId="5E2541DD"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4" w:space="0" w:color="auto"/>
              <w:right w:val="single" w:sz="4" w:space="0" w:color="auto"/>
            </w:tcBorders>
            <w:shd w:val="clear" w:color="auto" w:fill="auto"/>
            <w:noWrap/>
            <w:vAlign w:val="bottom"/>
            <w:hideMark/>
          </w:tcPr>
          <w:p w14:paraId="565CAC5A"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$190,000 </w:t>
            </w:r>
          </w:p>
        </w:tc>
        <w:tc>
          <w:tcPr>
            <w:tcW w:w="2522" w:type="dxa"/>
            <w:tcBorders>
              <w:top w:val="nil"/>
              <w:left w:val="nil"/>
              <w:bottom w:val="single" w:sz="4" w:space="0" w:color="auto"/>
              <w:right w:val="single" w:sz="4" w:space="0" w:color="auto"/>
            </w:tcBorders>
            <w:shd w:val="clear" w:color="auto" w:fill="auto"/>
            <w:noWrap/>
            <w:vAlign w:val="bottom"/>
            <w:hideMark/>
          </w:tcPr>
          <w:p w14:paraId="3C4CD635"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($150,000)</w:t>
            </w:r>
          </w:p>
        </w:tc>
        <w:tc>
          <w:tcPr>
            <w:tcW w:w="1620" w:type="dxa"/>
            <w:tcBorders>
              <w:top w:val="nil"/>
              <w:left w:val="nil"/>
              <w:bottom w:val="single" w:sz="4" w:space="0" w:color="auto"/>
              <w:right w:val="single" w:sz="8" w:space="0" w:color="auto"/>
            </w:tcBorders>
            <w:shd w:val="clear" w:color="auto" w:fill="auto"/>
            <w:noWrap/>
            <w:vAlign w:val="bottom"/>
            <w:hideMark/>
          </w:tcPr>
          <w:p w14:paraId="6AC27D1A"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$174,813 </w:t>
            </w:r>
          </w:p>
        </w:tc>
      </w:tr>
      <w:tr w:rsidR="00C7002D" w:rsidRPr="00C7002D" w14:paraId="0CAE2A92" w14:textId="77777777" w:rsidTr="00AE5308">
        <w:trPr>
          <w:trHeight w:val="284"/>
          <w:jc w:val="center"/>
        </w:trPr>
        <w:tc>
          <w:tcPr>
            <w:tcW w:w="918" w:type="dxa"/>
            <w:tcBorders>
              <w:top w:val="nil"/>
              <w:left w:val="single" w:sz="8" w:space="0" w:color="auto"/>
              <w:bottom w:val="single" w:sz="4" w:space="0" w:color="auto"/>
              <w:right w:val="single" w:sz="4" w:space="0" w:color="auto"/>
            </w:tcBorders>
            <w:shd w:val="clear" w:color="auto" w:fill="auto"/>
            <w:noWrap/>
            <w:vAlign w:val="bottom"/>
            <w:hideMark/>
          </w:tcPr>
          <w:p w14:paraId="1CAEBA37"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2023</w:t>
            </w:r>
          </w:p>
        </w:tc>
        <w:tc>
          <w:tcPr>
            <w:tcW w:w="1740" w:type="dxa"/>
            <w:tcBorders>
              <w:top w:val="nil"/>
              <w:left w:val="nil"/>
              <w:bottom w:val="single" w:sz="4" w:space="0" w:color="auto"/>
              <w:right w:val="single" w:sz="4" w:space="0" w:color="auto"/>
            </w:tcBorders>
            <w:shd w:val="clear" w:color="auto" w:fill="auto"/>
            <w:noWrap/>
            <w:vAlign w:val="bottom"/>
            <w:hideMark/>
          </w:tcPr>
          <w:p w14:paraId="762A88A0"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4" w:space="0" w:color="auto"/>
              <w:right w:val="single" w:sz="4" w:space="0" w:color="auto"/>
            </w:tcBorders>
            <w:shd w:val="clear" w:color="auto" w:fill="auto"/>
            <w:noWrap/>
            <w:vAlign w:val="bottom"/>
            <w:hideMark/>
          </w:tcPr>
          <w:p w14:paraId="58C84840"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$190,000 </w:t>
            </w:r>
          </w:p>
        </w:tc>
        <w:tc>
          <w:tcPr>
            <w:tcW w:w="2522" w:type="dxa"/>
            <w:tcBorders>
              <w:top w:val="nil"/>
              <w:left w:val="nil"/>
              <w:bottom w:val="single" w:sz="4" w:space="0" w:color="auto"/>
              <w:right w:val="single" w:sz="4" w:space="0" w:color="auto"/>
            </w:tcBorders>
            <w:shd w:val="clear" w:color="auto" w:fill="auto"/>
            <w:noWrap/>
            <w:vAlign w:val="bottom"/>
            <w:hideMark/>
          </w:tcPr>
          <w:p w14:paraId="1688AF45"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($309,930)</w:t>
            </w:r>
          </w:p>
        </w:tc>
        <w:tc>
          <w:tcPr>
            <w:tcW w:w="1620" w:type="dxa"/>
            <w:tcBorders>
              <w:top w:val="nil"/>
              <w:left w:val="nil"/>
              <w:bottom w:val="single" w:sz="4" w:space="0" w:color="auto"/>
              <w:right w:val="single" w:sz="8" w:space="0" w:color="auto"/>
            </w:tcBorders>
            <w:shd w:val="clear" w:color="auto" w:fill="auto"/>
            <w:noWrap/>
            <w:vAlign w:val="bottom"/>
            <w:hideMark/>
          </w:tcPr>
          <w:p w14:paraId="14B8B2C0"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$54,883 </w:t>
            </w:r>
          </w:p>
        </w:tc>
      </w:tr>
      <w:tr w:rsidR="00C7002D" w:rsidRPr="00C7002D" w14:paraId="6513FBD3" w14:textId="77777777" w:rsidTr="00AE5308">
        <w:trPr>
          <w:trHeight w:val="284"/>
          <w:jc w:val="center"/>
        </w:trPr>
        <w:tc>
          <w:tcPr>
            <w:tcW w:w="918" w:type="dxa"/>
            <w:tcBorders>
              <w:top w:val="nil"/>
              <w:left w:val="single" w:sz="8" w:space="0" w:color="auto"/>
              <w:bottom w:val="single" w:sz="4" w:space="0" w:color="auto"/>
              <w:right w:val="single" w:sz="4" w:space="0" w:color="auto"/>
            </w:tcBorders>
            <w:shd w:val="clear" w:color="auto" w:fill="auto"/>
            <w:noWrap/>
            <w:vAlign w:val="bottom"/>
            <w:hideMark/>
          </w:tcPr>
          <w:p w14:paraId="10A3ED12"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2024</w:t>
            </w:r>
          </w:p>
        </w:tc>
        <w:tc>
          <w:tcPr>
            <w:tcW w:w="1740" w:type="dxa"/>
            <w:tcBorders>
              <w:top w:val="nil"/>
              <w:left w:val="nil"/>
              <w:bottom w:val="single" w:sz="4" w:space="0" w:color="auto"/>
              <w:right w:val="single" w:sz="4" w:space="0" w:color="auto"/>
            </w:tcBorders>
            <w:shd w:val="clear" w:color="auto" w:fill="auto"/>
            <w:noWrap/>
            <w:vAlign w:val="bottom"/>
            <w:hideMark/>
          </w:tcPr>
          <w:p w14:paraId="7BCA90B2"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4" w:space="0" w:color="auto"/>
              <w:right w:val="single" w:sz="4" w:space="0" w:color="auto"/>
            </w:tcBorders>
            <w:shd w:val="clear" w:color="auto" w:fill="auto"/>
            <w:noWrap/>
            <w:vAlign w:val="bottom"/>
            <w:hideMark/>
          </w:tcPr>
          <w:p w14:paraId="251DEF9B"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$266,000 </w:t>
            </w:r>
          </w:p>
        </w:tc>
        <w:tc>
          <w:tcPr>
            <w:tcW w:w="2522" w:type="dxa"/>
            <w:tcBorders>
              <w:top w:val="nil"/>
              <w:left w:val="nil"/>
              <w:bottom w:val="single" w:sz="4" w:space="0" w:color="auto"/>
              <w:right w:val="single" w:sz="4" w:space="0" w:color="auto"/>
            </w:tcBorders>
            <w:shd w:val="clear" w:color="auto" w:fill="auto"/>
            <w:noWrap/>
            <w:vAlign w:val="bottom"/>
            <w:hideMark/>
          </w:tcPr>
          <w:p w14:paraId="087DD95D"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($150,000)</w:t>
            </w:r>
          </w:p>
        </w:tc>
        <w:tc>
          <w:tcPr>
            <w:tcW w:w="1620" w:type="dxa"/>
            <w:tcBorders>
              <w:top w:val="nil"/>
              <w:left w:val="nil"/>
              <w:bottom w:val="single" w:sz="4" w:space="0" w:color="auto"/>
              <w:right w:val="single" w:sz="8" w:space="0" w:color="auto"/>
            </w:tcBorders>
            <w:shd w:val="clear" w:color="auto" w:fill="auto"/>
            <w:noWrap/>
            <w:vAlign w:val="bottom"/>
            <w:hideMark/>
          </w:tcPr>
          <w:p w14:paraId="5F088645"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$170,883 </w:t>
            </w:r>
          </w:p>
        </w:tc>
      </w:tr>
      <w:tr w:rsidR="00C7002D" w:rsidRPr="00C7002D" w14:paraId="503EDC4E" w14:textId="77777777" w:rsidTr="00AE5308">
        <w:trPr>
          <w:trHeight w:val="284"/>
          <w:jc w:val="center"/>
        </w:trPr>
        <w:tc>
          <w:tcPr>
            <w:tcW w:w="918" w:type="dxa"/>
            <w:tcBorders>
              <w:top w:val="nil"/>
              <w:left w:val="single" w:sz="8" w:space="0" w:color="auto"/>
              <w:bottom w:val="single" w:sz="4" w:space="0" w:color="auto"/>
              <w:right w:val="single" w:sz="4" w:space="0" w:color="auto"/>
            </w:tcBorders>
            <w:shd w:val="clear" w:color="auto" w:fill="auto"/>
            <w:noWrap/>
            <w:vAlign w:val="bottom"/>
            <w:hideMark/>
          </w:tcPr>
          <w:p w14:paraId="4AB0CA08"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2025</w:t>
            </w:r>
          </w:p>
        </w:tc>
        <w:tc>
          <w:tcPr>
            <w:tcW w:w="1740" w:type="dxa"/>
            <w:tcBorders>
              <w:top w:val="nil"/>
              <w:left w:val="nil"/>
              <w:bottom w:val="single" w:sz="4" w:space="0" w:color="auto"/>
              <w:right w:val="single" w:sz="4" w:space="0" w:color="auto"/>
            </w:tcBorders>
            <w:shd w:val="clear" w:color="auto" w:fill="auto"/>
            <w:noWrap/>
            <w:vAlign w:val="bottom"/>
            <w:hideMark/>
          </w:tcPr>
          <w:p w14:paraId="7B4382D3"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4" w:space="0" w:color="auto"/>
              <w:right w:val="single" w:sz="4" w:space="0" w:color="auto"/>
            </w:tcBorders>
            <w:shd w:val="clear" w:color="auto" w:fill="auto"/>
            <w:noWrap/>
            <w:vAlign w:val="bottom"/>
            <w:hideMark/>
          </w:tcPr>
          <w:p w14:paraId="67FEC466"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$266,000 </w:t>
            </w:r>
          </w:p>
        </w:tc>
        <w:tc>
          <w:tcPr>
            <w:tcW w:w="2522" w:type="dxa"/>
            <w:tcBorders>
              <w:top w:val="nil"/>
              <w:left w:val="nil"/>
              <w:bottom w:val="single" w:sz="4" w:space="0" w:color="auto"/>
              <w:right w:val="single" w:sz="4" w:space="0" w:color="auto"/>
            </w:tcBorders>
            <w:shd w:val="clear" w:color="auto" w:fill="auto"/>
            <w:noWrap/>
            <w:vAlign w:val="bottom"/>
            <w:hideMark/>
          </w:tcPr>
          <w:p w14:paraId="33C15EB0"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($309,930)</w:t>
            </w:r>
          </w:p>
        </w:tc>
        <w:tc>
          <w:tcPr>
            <w:tcW w:w="1620" w:type="dxa"/>
            <w:tcBorders>
              <w:top w:val="nil"/>
              <w:left w:val="nil"/>
              <w:bottom w:val="single" w:sz="4" w:space="0" w:color="auto"/>
              <w:right w:val="single" w:sz="8" w:space="0" w:color="auto"/>
            </w:tcBorders>
            <w:shd w:val="clear" w:color="auto" w:fill="auto"/>
            <w:noWrap/>
            <w:vAlign w:val="bottom"/>
            <w:hideMark/>
          </w:tcPr>
          <w:p w14:paraId="1C5A536A"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$126,953 </w:t>
            </w:r>
          </w:p>
        </w:tc>
      </w:tr>
      <w:tr w:rsidR="00C7002D" w:rsidRPr="00C7002D" w14:paraId="724DFD6A" w14:textId="77777777" w:rsidTr="00AE5308">
        <w:trPr>
          <w:trHeight w:val="284"/>
          <w:jc w:val="center"/>
        </w:trPr>
        <w:tc>
          <w:tcPr>
            <w:tcW w:w="918" w:type="dxa"/>
            <w:tcBorders>
              <w:top w:val="nil"/>
              <w:left w:val="single" w:sz="8" w:space="0" w:color="auto"/>
              <w:bottom w:val="single" w:sz="4" w:space="0" w:color="auto"/>
              <w:right w:val="single" w:sz="4" w:space="0" w:color="auto"/>
            </w:tcBorders>
            <w:shd w:val="clear" w:color="auto" w:fill="auto"/>
            <w:noWrap/>
            <w:vAlign w:val="bottom"/>
            <w:hideMark/>
          </w:tcPr>
          <w:p w14:paraId="16966B2A"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2026</w:t>
            </w:r>
          </w:p>
        </w:tc>
        <w:tc>
          <w:tcPr>
            <w:tcW w:w="1740" w:type="dxa"/>
            <w:tcBorders>
              <w:top w:val="nil"/>
              <w:left w:val="nil"/>
              <w:bottom w:val="single" w:sz="4" w:space="0" w:color="auto"/>
              <w:right w:val="single" w:sz="4" w:space="0" w:color="auto"/>
            </w:tcBorders>
            <w:shd w:val="clear" w:color="auto" w:fill="auto"/>
            <w:noWrap/>
            <w:vAlign w:val="bottom"/>
            <w:hideMark/>
          </w:tcPr>
          <w:p w14:paraId="2399E108"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4" w:space="0" w:color="auto"/>
              <w:right w:val="single" w:sz="4" w:space="0" w:color="auto"/>
            </w:tcBorders>
            <w:shd w:val="clear" w:color="auto" w:fill="auto"/>
            <w:noWrap/>
            <w:vAlign w:val="bottom"/>
            <w:hideMark/>
          </w:tcPr>
          <w:p w14:paraId="615AC147"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$266,000 </w:t>
            </w:r>
          </w:p>
        </w:tc>
        <w:tc>
          <w:tcPr>
            <w:tcW w:w="2522" w:type="dxa"/>
            <w:tcBorders>
              <w:top w:val="nil"/>
              <w:left w:val="nil"/>
              <w:bottom w:val="single" w:sz="4" w:space="0" w:color="auto"/>
              <w:right w:val="single" w:sz="4" w:space="0" w:color="auto"/>
            </w:tcBorders>
            <w:shd w:val="clear" w:color="auto" w:fill="auto"/>
            <w:noWrap/>
            <w:vAlign w:val="bottom"/>
            <w:hideMark/>
          </w:tcPr>
          <w:p w14:paraId="71B5A4AB"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($150,000)</w:t>
            </w:r>
          </w:p>
        </w:tc>
        <w:tc>
          <w:tcPr>
            <w:tcW w:w="1620" w:type="dxa"/>
            <w:tcBorders>
              <w:top w:val="nil"/>
              <w:left w:val="nil"/>
              <w:bottom w:val="single" w:sz="4" w:space="0" w:color="auto"/>
              <w:right w:val="single" w:sz="8" w:space="0" w:color="auto"/>
            </w:tcBorders>
            <w:shd w:val="clear" w:color="auto" w:fill="auto"/>
            <w:noWrap/>
            <w:vAlign w:val="bottom"/>
            <w:hideMark/>
          </w:tcPr>
          <w:p w14:paraId="607B3931"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$242,953 </w:t>
            </w:r>
          </w:p>
        </w:tc>
      </w:tr>
      <w:tr w:rsidR="00C7002D" w:rsidRPr="00C7002D" w14:paraId="59EDABF4" w14:textId="77777777" w:rsidTr="00AE5308">
        <w:trPr>
          <w:trHeight w:val="284"/>
          <w:jc w:val="center"/>
        </w:trPr>
        <w:tc>
          <w:tcPr>
            <w:tcW w:w="918" w:type="dxa"/>
            <w:tcBorders>
              <w:top w:val="nil"/>
              <w:left w:val="single" w:sz="8" w:space="0" w:color="auto"/>
              <w:bottom w:val="single" w:sz="4" w:space="0" w:color="auto"/>
              <w:right w:val="single" w:sz="4" w:space="0" w:color="auto"/>
            </w:tcBorders>
            <w:shd w:val="clear" w:color="auto" w:fill="auto"/>
            <w:noWrap/>
            <w:vAlign w:val="bottom"/>
            <w:hideMark/>
          </w:tcPr>
          <w:p w14:paraId="34FFCBF0"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2027</w:t>
            </w:r>
          </w:p>
        </w:tc>
        <w:tc>
          <w:tcPr>
            <w:tcW w:w="1740" w:type="dxa"/>
            <w:tcBorders>
              <w:top w:val="nil"/>
              <w:left w:val="nil"/>
              <w:bottom w:val="single" w:sz="4" w:space="0" w:color="auto"/>
              <w:right w:val="single" w:sz="4" w:space="0" w:color="auto"/>
            </w:tcBorders>
            <w:shd w:val="clear" w:color="auto" w:fill="auto"/>
            <w:noWrap/>
            <w:vAlign w:val="bottom"/>
            <w:hideMark/>
          </w:tcPr>
          <w:p w14:paraId="543F768D"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4" w:space="0" w:color="auto"/>
              <w:right w:val="single" w:sz="4" w:space="0" w:color="auto"/>
            </w:tcBorders>
            <w:shd w:val="clear" w:color="auto" w:fill="auto"/>
            <w:noWrap/>
            <w:vAlign w:val="bottom"/>
            <w:hideMark/>
          </w:tcPr>
          <w:p w14:paraId="21B3DA30"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$266,000 </w:t>
            </w:r>
          </w:p>
        </w:tc>
        <w:tc>
          <w:tcPr>
            <w:tcW w:w="2522" w:type="dxa"/>
            <w:tcBorders>
              <w:top w:val="nil"/>
              <w:left w:val="nil"/>
              <w:bottom w:val="single" w:sz="4" w:space="0" w:color="auto"/>
              <w:right w:val="single" w:sz="4" w:space="0" w:color="auto"/>
            </w:tcBorders>
            <w:shd w:val="clear" w:color="auto" w:fill="auto"/>
            <w:noWrap/>
            <w:vAlign w:val="bottom"/>
            <w:hideMark/>
          </w:tcPr>
          <w:p w14:paraId="0BC62A8C"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($309,930)</w:t>
            </w:r>
          </w:p>
        </w:tc>
        <w:tc>
          <w:tcPr>
            <w:tcW w:w="1620" w:type="dxa"/>
            <w:tcBorders>
              <w:top w:val="nil"/>
              <w:left w:val="nil"/>
              <w:bottom w:val="single" w:sz="4" w:space="0" w:color="auto"/>
              <w:right w:val="single" w:sz="8" w:space="0" w:color="auto"/>
            </w:tcBorders>
            <w:shd w:val="clear" w:color="auto" w:fill="auto"/>
            <w:noWrap/>
            <w:vAlign w:val="bottom"/>
            <w:hideMark/>
          </w:tcPr>
          <w:p w14:paraId="4C5AFECC"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$199,023 </w:t>
            </w:r>
          </w:p>
        </w:tc>
      </w:tr>
      <w:tr w:rsidR="00C7002D" w:rsidRPr="00C7002D" w14:paraId="3561CC9F" w14:textId="77777777" w:rsidTr="00AE5308">
        <w:trPr>
          <w:trHeight w:val="284"/>
          <w:jc w:val="center"/>
        </w:trPr>
        <w:tc>
          <w:tcPr>
            <w:tcW w:w="918" w:type="dxa"/>
            <w:tcBorders>
              <w:top w:val="nil"/>
              <w:left w:val="single" w:sz="8" w:space="0" w:color="auto"/>
              <w:bottom w:val="single" w:sz="4" w:space="0" w:color="auto"/>
              <w:right w:val="single" w:sz="4" w:space="0" w:color="auto"/>
            </w:tcBorders>
            <w:shd w:val="clear" w:color="auto" w:fill="auto"/>
            <w:noWrap/>
            <w:vAlign w:val="bottom"/>
            <w:hideMark/>
          </w:tcPr>
          <w:p w14:paraId="0DEA934C"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2028</w:t>
            </w:r>
          </w:p>
        </w:tc>
        <w:tc>
          <w:tcPr>
            <w:tcW w:w="1740" w:type="dxa"/>
            <w:tcBorders>
              <w:top w:val="nil"/>
              <w:left w:val="nil"/>
              <w:bottom w:val="single" w:sz="4" w:space="0" w:color="auto"/>
              <w:right w:val="single" w:sz="4" w:space="0" w:color="auto"/>
            </w:tcBorders>
            <w:shd w:val="clear" w:color="auto" w:fill="auto"/>
            <w:noWrap/>
            <w:vAlign w:val="bottom"/>
            <w:hideMark/>
          </w:tcPr>
          <w:p w14:paraId="7B219469"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4" w:space="0" w:color="auto"/>
              <w:right w:val="single" w:sz="4" w:space="0" w:color="auto"/>
            </w:tcBorders>
            <w:shd w:val="clear" w:color="auto" w:fill="auto"/>
            <w:noWrap/>
            <w:vAlign w:val="bottom"/>
            <w:hideMark/>
          </w:tcPr>
          <w:p w14:paraId="52477D20"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$266,000 </w:t>
            </w:r>
          </w:p>
        </w:tc>
        <w:tc>
          <w:tcPr>
            <w:tcW w:w="2522" w:type="dxa"/>
            <w:tcBorders>
              <w:top w:val="nil"/>
              <w:left w:val="nil"/>
              <w:bottom w:val="single" w:sz="4" w:space="0" w:color="auto"/>
              <w:right w:val="single" w:sz="4" w:space="0" w:color="auto"/>
            </w:tcBorders>
            <w:shd w:val="clear" w:color="auto" w:fill="auto"/>
            <w:noWrap/>
            <w:vAlign w:val="bottom"/>
            <w:hideMark/>
          </w:tcPr>
          <w:p w14:paraId="1B980D91"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($150,000)</w:t>
            </w:r>
          </w:p>
        </w:tc>
        <w:tc>
          <w:tcPr>
            <w:tcW w:w="1620" w:type="dxa"/>
            <w:tcBorders>
              <w:top w:val="nil"/>
              <w:left w:val="nil"/>
              <w:bottom w:val="single" w:sz="4" w:space="0" w:color="auto"/>
              <w:right w:val="single" w:sz="8" w:space="0" w:color="auto"/>
            </w:tcBorders>
            <w:shd w:val="clear" w:color="auto" w:fill="auto"/>
            <w:noWrap/>
            <w:vAlign w:val="bottom"/>
            <w:hideMark/>
          </w:tcPr>
          <w:p w14:paraId="334D3E75"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$315,023 </w:t>
            </w:r>
          </w:p>
        </w:tc>
      </w:tr>
      <w:tr w:rsidR="00C7002D" w:rsidRPr="00C7002D" w14:paraId="60E47FB0" w14:textId="77777777" w:rsidTr="00AE5308">
        <w:trPr>
          <w:trHeight w:val="284"/>
          <w:jc w:val="center"/>
        </w:trPr>
        <w:tc>
          <w:tcPr>
            <w:tcW w:w="918" w:type="dxa"/>
            <w:tcBorders>
              <w:top w:val="nil"/>
              <w:left w:val="single" w:sz="8" w:space="0" w:color="auto"/>
              <w:bottom w:val="single" w:sz="4" w:space="0" w:color="auto"/>
              <w:right w:val="single" w:sz="4" w:space="0" w:color="auto"/>
            </w:tcBorders>
            <w:shd w:val="clear" w:color="auto" w:fill="auto"/>
            <w:noWrap/>
            <w:vAlign w:val="bottom"/>
            <w:hideMark/>
          </w:tcPr>
          <w:p w14:paraId="03F3B97F"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2029</w:t>
            </w:r>
          </w:p>
        </w:tc>
        <w:tc>
          <w:tcPr>
            <w:tcW w:w="1740" w:type="dxa"/>
            <w:tcBorders>
              <w:top w:val="nil"/>
              <w:left w:val="nil"/>
              <w:bottom w:val="single" w:sz="4" w:space="0" w:color="auto"/>
              <w:right w:val="single" w:sz="4" w:space="0" w:color="auto"/>
            </w:tcBorders>
            <w:shd w:val="clear" w:color="auto" w:fill="auto"/>
            <w:noWrap/>
            <w:vAlign w:val="bottom"/>
            <w:hideMark/>
          </w:tcPr>
          <w:p w14:paraId="381FE66C"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4" w:space="0" w:color="auto"/>
              <w:right w:val="single" w:sz="4" w:space="0" w:color="auto"/>
            </w:tcBorders>
            <w:shd w:val="clear" w:color="auto" w:fill="auto"/>
            <w:noWrap/>
            <w:vAlign w:val="bottom"/>
            <w:hideMark/>
          </w:tcPr>
          <w:p w14:paraId="3AD79A4C"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$266,000 </w:t>
            </w:r>
          </w:p>
        </w:tc>
        <w:tc>
          <w:tcPr>
            <w:tcW w:w="2522" w:type="dxa"/>
            <w:tcBorders>
              <w:top w:val="nil"/>
              <w:left w:val="nil"/>
              <w:bottom w:val="single" w:sz="4" w:space="0" w:color="auto"/>
              <w:right w:val="single" w:sz="4" w:space="0" w:color="auto"/>
            </w:tcBorders>
            <w:shd w:val="clear" w:color="auto" w:fill="auto"/>
            <w:noWrap/>
            <w:vAlign w:val="bottom"/>
            <w:hideMark/>
          </w:tcPr>
          <w:p w14:paraId="7C472003"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($309,930)</w:t>
            </w:r>
          </w:p>
        </w:tc>
        <w:tc>
          <w:tcPr>
            <w:tcW w:w="1620" w:type="dxa"/>
            <w:tcBorders>
              <w:top w:val="nil"/>
              <w:left w:val="nil"/>
              <w:bottom w:val="single" w:sz="4" w:space="0" w:color="auto"/>
              <w:right w:val="single" w:sz="8" w:space="0" w:color="auto"/>
            </w:tcBorders>
            <w:shd w:val="clear" w:color="auto" w:fill="auto"/>
            <w:noWrap/>
            <w:vAlign w:val="bottom"/>
            <w:hideMark/>
          </w:tcPr>
          <w:p w14:paraId="4FA3FB17"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$271,093 </w:t>
            </w:r>
          </w:p>
        </w:tc>
      </w:tr>
      <w:tr w:rsidR="00C7002D" w:rsidRPr="00C7002D" w14:paraId="7812B965" w14:textId="77777777" w:rsidTr="00AE5308">
        <w:trPr>
          <w:trHeight w:val="295"/>
          <w:jc w:val="center"/>
        </w:trPr>
        <w:tc>
          <w:tcPr>
            <w:tcW w:w="918" w:type="dxa"/>
            <w:tcBorders>
              <w:top w:val="nil"/>
              <w:left w:val="single" w:sz="8" w:space="0" w:color="auto"/>
              <w:bottom w:val="single" w:sz="8" w:space="0" w:color="auto"/>
              <w:right w:val="single" w:sz="4" w:space="0" w:color="auto"/>
            </w:tcBorders>
            <w:shd w:val="clear" w:color="auto" w:fill="auto"/>
            <w:noWrap/>
            <w:vAlign w:val="bottom"/>
            <w:hideMark/>
          </w:tcPr>
          <w:p w14:paraId="39037714"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2030</w:t>
            </w:r>
          </w:p>
        </w:tc>
        <w:tc>
          <w:tcPr>
            <w:tcW w:w="1740" w:type="dxa"/>
            <w:tcBorders>
              <w:top w:val="nil"/>
              <w:left w:val="nil"/>
              <w:bottom w:val="single" w:sz="8" w:space="0" w:color="auto"/>
              <w:right w:val="single" w:sz="4" w:space="0" w:color="auto"/>
            </w:tcBorders>
            <w:shd w:val="clear" w:color="auto" w:fill="auto"/>
            <w:noWrap/>
            <w:vAlign w:val="bottom"/>
            <w:hideMark/>
          </w:tcPr>
          <w:p w14:paraId="54FC0292"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0.35</w:t>
            </w:r>
          </w:p>
        </w:tc>
        <w:tc>
          <w:tcPr>
            <w:tcW w:w="1740" w:type="dxa"/>
            <w:tcBorders>
              <w:top w:val="nil"/>
              <w:left w:val="nil"/>
              <w:bottom w:val="single" w:sz="8" w:space="0" w:color="auto"/>
              <w:right w:val="single" w:sz="4" w:space="0" w:color="auto"/>
            </w:tcBorders>
            <w:shd w:val="clear" w:color="auto" w:fill="auto"/>
            <w:noWrap/>
            <w:vAlign w:val="bottom"/>
            <w:hideMark/>
          </w:tcPr>
          <w:p w14:paraId="62FB7FBE"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$266,000 </w:t>
            </w:r>
          </w:p>
        </w:tc>
        <w:tc>
          <w:tcPr>
            <w:tcW w:w="2522" w:type="dxa"/>
            <w:tcBorders>
              <w:top w:val="nil"/>
              <w:left w:val="nil"/>
              <w:bottom w:val="single" w:sz="8" w:space="0" w:color="auto"/>
              <w:right w:val="single" w:sz="4" w:space="0" w:color="auto"/>
            </w:tcBorders>
            <w:shd w:val="clear" w:color="auto" w:fill="auto"/>
            <w:noWrap/>
            <w:vAlign w:val="bottom"/>
            <w:hideMark/>
          </w:tcPr>
          <w:p w14:paraId="65607AA8"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FF0000"/>
              </w:rPr>
              <w:t>($150,000)</w:t>
            </w:r>
          </w:p>
        </w:tc>
        <w:tc>
          <w:tcPr>
            <w:tcW w:w="1620" w:type="dxa"/>
            <w:tcBorders>
              <w:top w:val="nil"/>
              <w:left w:val="nil"/>
              <w:bottom w:val="single" w:sz="8" w:space="0" w:color="auto"/>
              <w:right w:val="single" w:sz="8" w:space="0" w:color="auto"/>
            </w:tcBorders>
            <w:shd w:val="clear" w:color="auto" w:fill="auto"/>
            <w:noWrap/>
            <w:vAlign w:val="bottom"/>
            <w:hideMark/>
          </w:tcPr>
          <w:p w14:paraId="414E68AE" w14:textId="77777777" w:rsidR="00C7002D" w:rsidRPr="00C7002D" w:rsidRDefault="00C7002D" w:rsidP="00C7002D">
            <w:pPr>
              <w:spacing w:after="0" w:line="240" w:lineRule="auto"/>
              <w:jc w:val="right"/>
              <w:rPr>
                <w:rFonts w:ascii="Calibri" w:eastAsia="Times New Roman" w:hAnsi="Calibri" w:cs="Calibri"/>
                <w:color w:val="000000"/>
              </w:rPr>
            </w:pPr>
            <w:r w:rsidRPr="00C7002D">
              <w:rPr>
                <w:rFonts w:ascii="Calibri" w:eastAsia="Times New Roman" w:hAnsi="Calibri" w:cs="Calibri"/>
                <w:color w:val="000000"/>
              </w:rPr>
              <w:t xml:space="preserve">$387,093 </w:t>
            </w:r>
          </w:p>
        </w:tc>
      </w:tr>
    </w:tbl>
    <w:p w14:paraId="0A330FFB" w14:textId="7B45817C" w:rsidR="00C7002D" w:rsidRDefault="00C7002D" w:rsidP="000B1134">
      <w:pPr>
        <w:spacing w:after="0" w:line="240" w:lineRule="auto"/>
        <w:jc w:val="center"/>
        <w:rPr>
          <w:rFonts w:ascii="Calibri" w:eastAsia="Times New Roman" w:hAnsi="Calibri" w:cs="Calibri"/>
          <w:b/>
          <w:bCs/>
          <w:color w:val="FF0000"/>
          <w:sz w:val="26"/>
          <w:szCs w:val="26"/>
          <w:lang w:bidi="he-IL"/>
        </w:rPr>
      </w:pPr>
    </w:p>
    <w:p w14:paraId="34856C1B" w14:textId="36F741B4" w:rsidR="00C7002D" w:rsidRPr="002E7E1A" w:rsidRDefault="00C7002D" w:rsidP="000B1134">
      <w:pPr>
        <w:spacing w:after="0" w:line="240" w:lineRule="auto"/>
        <w:jc w:val="center"/>
        <w:rPr>
          <w:rFonts w:ascii="Calibri" w:eastAsia="Times New Roman" w:hAnsi="Calibri" w:cs="Calibri"/>
          <w:b/>
          <w:bCs/>
          <w:color w:val="FF0000"/>
          <w:sz w:val="26"/>
          <w:szCs w:val="26"/>
          <w:lang w:bidi="he-IL"/>
        </w:rPr>
      </w:pPr>
      <w:r>
        <w:rPr>
          <w:noProof/>
        </w:rPr>
        <w:drawing>
          <wp:inline distT="0" distB="0" distL="0" distR="0" wp14:anchorId="46A06657" wp14:editId="0E25C348">
            <wp:extent cx="5410200" cy="2238375"/>
            <wp:effectExtent l="0" t="0" r="0" b="9525"/>
            <wp:docPr id="1" name="Chart 1">
              <a:extLst xmlns:a="http://schemas.openxmlformats.org/drawingml/2006/main">
                <a:ext uri="{FF2B5EF4-FFF2-40B4-BE49-F238E27FC236}">
                  <a16:creationId xmlns:a16="http://schemas.microsoft.com/office/drawing/2014/main" id="{837E2A85-11B9-478B-A8B3-9CEB97952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DEB7793" w14:textId="2343E413" w:rsidR="000B1134" w:rsidRDefault="000B1134" w:rsidP="000B1134">
      <w:pPr>
        <w:spacing w:after="0" w:line="240" w:lineRule="auto"/>
        <w:jc w:val="center"/>
        <w:rPr>
          <w:rFonts w:ascii="Calibri" w:eastAsia="Times New Roman" w:hAnsi="Calibri" w:cs="Calibri"/>
          <w:color w:val="FF0000"/>
          <w:sz w:val="26"/>
          <w:szCs w:val="26"/>
          <w:lang w:bidi="he-IL"/>
        </w:rPr>
      </w:pPr>
    </w:p>
    <w:p w14:paraId="3A31AA06" w14:textId="04E7C07C" w:rsidR="001A26F1" w:rsidRDefault="001A26F1" w:rsidP="000B1134">
      <w:pPr>
        <w:spacing w:after="0" w:line="240" w:lineRule="auto"/>
        <w:jc w:val="center"/>
        <w:rPr>
          <w:rFonts w:ascii="Calibri" w:eastAsia="Times New Roman" w:hAnsi="Calibri" w:cs="Calibri"/>
          <w:color w:val="FF0000"/>
          <w:sz w:val="26"/>
          <w:szCs w:val="26"/>
          <w:lang w:bidi="he-IL"/>
        </w:rPr>
      </w:pPr>
    </w:p>
    <w:p w14:paraId="5022BD63" w14:textId="066870E0" w:rsidR="00AE5308" w:rsidRDefault="000B1134" w:rsidP="000B1134">
      <w:pPr>
        <w:spacing w:after="0" w:line="240" w:lineRule="auto"/>
        <w:jc w:val="center"/>
        <w:rPr>
          <w:rFonts w:ascii="Calibri" w:eastAsia="Times New Roman" w:hAnsi="Calibri" w:cs="Calibri"/>
          <w:b/>
          <w:bCs/>
          <w:color w:val="FF0000"/>
          <w:sz w:val="26"/>
          <w:szCs w:val="26"/>
          <w:lang w:bidi="he-IL"/>
        </w:rPr>
      </w:pPr>
      <w:r w:rsidRPr="002E7E1A">
        <w:rPr>
          <w:rFonts w:ascii="Calibri" w:eastAsia="Times New Roman" w:hAnsi="Calibri" w:cs="Calibri"/>
          <w:b/>
          <w:bCs/>
          <w:color w:val="FF0000"/>
          <w:sz w:val="26"/>
          <w:szCs w:val="26"/>
          <w:lang w:bidi="he-IL"/>
        </w:rPr>
        <w:t>WMAP Fund Balance Projections at $0.</w:t>
      </w:r>
      <w:r w:rsidRPr="002E7E1A">
        <w:rPr>
          <w:rFonts w:ascii="Calibri" w:eastAsia="Times New Roman" w:hAnsi="Calibri" w:cs="Calibri"/>
          <w:b/>
          <w:bCs/>
          <w:color w:val="FF0000"/>
          <w:sz w:val="26"/>
          <w:szCs w:val="26"/>
          <w:lang w:bidi="he-IL"/>
        </w:rPr>
        <w:t>50</w:t>
      </w:r>
      <w:r w:rsidRPr="002E7E1A">
        <w:rPr>
          <w:rFonts w:ascii="Calibri" w:eastAsia="Times New Roman" w:hAnsi="Calibri" w:cs="Calibri"/>
          <w:b/>
          <w:bCs/>
          <w:color w:val="FF0000"/>
          <w:sz w:val="26"/>
          <w:szCs w:val="26"/>
          <w:lang w:bidi="he-IL"/>
        </w:rPr>
        <w:t>/AF</w:t>
      </w:r>
    </w:p>
    <w:tbl>
      <w:tblPr>
        <w:tblW w:w="8630" w:type="dxa"/>
        <w:jc w:val="center"/>
        <w:tblLook w:val="04A0" w:firstRow="1" w:lastRow="0" w:firstColumn="1" w:lastColumn="0" w:noHBand="0" w:noVBand="1"/>
      </w:tblPr>
      <w:tblGrid>
        <w:gridCol w:w="960"/>
        <w:gridCol w:w="1820"/>
        <w:gridCol w:w="1820"/>
        <w:gridCol w:w="2410"/>
        <w:gridCol w:w="1620"/>
      </w:tblGrid>
      <w:tr w:rsidR="00AE5308" w:rsidRPr="00AE5308" w14:paraId="3C8DF58C" w14:textId="77777777" w:rsidTr="00AE5308">
        <w:trPr>
          <w:trHeight w:val="300"/>
          <w:jc w:val="center"/>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27BD057"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Year</w:t>
            </w:r>
          </w:p>
        </w:tc>
        <w:tc>
          <w:tcPr>
            <w:tcW w:w="1820" w:type="dxa"/>
            <w:tcBorders>
              <w:top w:val="single" w:sz="8" w:space="0" w:color="auto"/>
              <w:left w:val="nil"/>
              <w:bottom w:val="single" w:sz="8" w:space="0" w:color="auto"/>
              <w:right w:val="single" w:sz="4" w:space="0" w:color="auto"/>
            </w:tcBorders>
            <w:shd w:val="clear" w:color="auto" w:fill="auto"/>
            <w:noWrap/>
            <w:vAlign w:val="bottom"/>
            <w:hideMark/>
          </w:tcPr>
          <w:p w14:paraId="02F47087"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WMAP Fee/AF</w:t>
            </w:r>
          </w:p>
        </w:tc>
        <w:tc>
          <w:tcPr>
            <w:tcW w:w="1820" w:type="dxa"/>
            <w:tcBorders>
              <w:top w:val="single" w:sz="8" w:space="0" w:color="auto"/>
              <w:left w:val="nil"/>
              <w:bottom w:val="single" w:sz="8" w:space="0" w:color="auto"/>
              <w:right w:val="single" w:sz="4" w:space="0" w:color="auto"/>
            </w:tcBorders>
            <w:shd w:val="clear" w:color="auto" w:fill="auto"/>
            <w:noWrap/>
            <w:vAlign w:val="bottom"/>
            <w:hideMark/>
          </w:tcPr>
          <w:p w14:paraId="768D9320"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WMAP Fee/Yr</w:t>
            </w:r>
          </w:p>
        </w:tc>
        <w:tc>
          <w:tcPr>
            <w:tcW w:w="2410" w:type="dxa"/>
            <w:tcBorders>
              <w:top w:val="single" w:sz="8" w:space="0" w:color="auto"/>
              <w:left w:val="nil"/>
              <w:bottom w:val="single" w:sz="8" w:space="0" w:color="auto"/>
              <w:right w:val="single" w:sz="4" w:space="0" w:color="auto"/>
            </w:tcBorders>
            <w:shd w:val="clear" w:color="auto" w:fill="auto"/>
            <w:noWrap/>
            <w:vAlign w:val="bottom"/>
            <w:hideMark/>
          </w:tcPr>
          <w:p w14:paraId="305239A6"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WMAP Legacy Contracts</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5D7A6BFF" w14:textId="77777777" w:rsidR="00AE5308" w:rsidRPr="00AE5308" w:rsidRDefault="00AE5308" w:rsidP="00AE5308">
            <w:pPr>
              <w:spacing w:after="0" w:line="240" w:lineRule="auto"/>
              <w:rPr>
                <w:rFonts w:ascii="Calibri" w:eastAsia="Times New Roman" w:hAnsi="Calibri" w:cs="Calibri"/>
                <w:color w:val="000000"/>
              </w:rPr>
            </w:pPr>
            <w:r w:rsidRPr="00AE5308">
              <w:rPr>
                <w:rFonts w:ascii="Calibri" w:eastAsia="Times New Roman" w:hAnsi="Calibri" w:cs="Calibri"/>
                <w:color w:val="000000"/>
              </w:rPr>
              <w:t>WMAP Balance</w:t>
            </w:r>
          </w:p>
        </w:tc>
      </w:tr>
      <w:tr w:rsidR="00AE5308" w:rsidRPr="00AE5308" w14:paraId="7C3557AB" w14:textId="77777777" w:rsidTr="00AE5308">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D11C285"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2022</w:t>
            </w:r>
          </w:p>
        </w:tc>
        <w:tc>
          <w:tcPr>
            <w:tcW w:w="1820" w:type="dxa"/>
            <w:tcBorders>
              <w:top w:val="nil"/>
              <w:left w:val="nil"/>
              <w:bottom w:val="single" w:sz="4" w:space="0" w:color="auto"/>
              <w:right w:val="single" w:sz="4" w:space="0" w:color="auto"/>
            </w:tcBorders>
            <w:shd w:val="clear" w:color="auto" w:fill="auto"/>
            <w:noWrap/>
            <w:vAlign w:val="bottom"/>
            <w:hideMark/>
          </w:tcPr>
          <w:p w14:paraId="1D6026C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4" w:space="0" w:color="auto"/>
              <w:right w:val="single" w:sz="4" w:space="0" w:color="auto"/>
            </w:tcBorders>
            <w:shd w:val="clear" w:color="auto" w:fill="auto"/>
            <w:noWrap/>
            <w:vAlign w:val="bottom"/>
            <w:hideMark/>
          </w:tcPr>
          <w:p w14:paraId="0CBD996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10" w:type="dxa"/>
            <w:tcBorders>
              <w:top w:val="nil"/>
              <w:left w:val="nil"/>
              <w:bottom w:val="single" w:sz="4" w:space="0" w:color="auto"/>
              <w:right w:val="single" w:sz="4" w:space="0" w:color="auto"/>
            </w:tcBorders>
            <w:shd w:val="clear" w:color="auto" w:fill="auto"/>
            <w:noWrap/>
            <w:vAlign w:val="bottom"/>
            <w:hideMark/>
          </w:tcPr>
          <w:p w14:paraId="60B30C30"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0" w:type="dxa"/>
            <w:tcBorders>
              <w:top w:val="nil"/>
              <w:left w:val="nil"/>
              <w:bottom w:val="single" w:sz="4" w:space="0" w:color="auto"/>
              <w:right w:val="single" w:sz="8" w:space="0" w:color="auto"/>
            </w:tcBorders>
            <w:shd w:val="clear" w:color="auto" w:fill="auto"/>
            <w:noWrap/>
            <w:vAlign w:val="bottom"/>
            <w:hideMark/>
          </w:tcPr>
          <w:p w14:paraId="4FE76C5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$174,813 </w:t>
            </w:r>
          </w:p>
        </w:tc>
      </w:tr>
      <w:tr w:rsidR="00AE5308" w:rsidRPr="00AE5308" w14:paraId="4D87CDAB" w14:textId="77777777" w:rsidTr="00AE5308">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5712F30"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2023</w:t>
            </w:r>
          </w:p>
        </w:tc>
        <w:tc>
          <w:tcPr>
            <w:tcW w:w="1820" w:type="dxa"/>
            <w:tcBorders>
              <w:top w:val="nil"/>
              <w:left w:val="nil"/>
              <w:bottom w:val="single" w:sz="4" w:space="0" w:color="auto"/>
              <w:right w:val="single" w:sz="4" w:space="0" w:color="auto"/>
            </w:tcBorders>
            <w:shd w:val="clear" w:color="auto" w:fill="auto"/>
            <w:noWrap/>
            <w:vAlign w:val="bottom"/>
            <w:hideMark/>
          </w:tcPr>
          <w:p w14:paraId="022C05DB"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4" w:space="0" w:color="auto"/>
              <w:right w:val="single" w:sz="4" w:space="0" w:color="auto"/>
            </w:tcBorders>
            <w:shd w:val="clear" w:color="auto" w:fill="auto"/>
            <w:noWrap/>
            <w:vAlign w:val="bottom"/>
            <w:hideMark/>
          </w:tcPr>
          <w:p w14:paraId="6DE9459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$190,000 </w:t>
            </w:r>
          </w:p>
        </w:tc>
        <w:tc>
          <w:tcPr>
            <w:tcW w:w="2410" w:type="dxa"/>
            <w:tcBorders>
              <w:top w:val="nil"/>
              <w:left w:val="nil"/>
              <w:bottom w:val="single" w:sz="4" w:space="0" w:color="auto"/>
              <w:right w:val="single" w:sz="4" w:space="0" w:color="auto"/>
            </w:tcBorders>
            <w:shd w:val="clear" w:color="auto" w:fill="auto"/>
            <w:noWrap/>
            <w:vAlign w:val="bottom"/>
            <w:hideMark/>
          </w:tcPr>
          <w:p w14:paraId="2920E545"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($309,930)</w:t>
            </w:r>
          </w:p>
        </w:tc>
        <w:tc>
          <w:tcPr>
            <w:tcW w:w="1620" w:type="dxa"/>
            <w:tcBorders>
              <w:top w:val="nil"/>
              <w:left w:val="nil"/>
              <w:bottom w:val="single" w:sz="4" w:space="0" w:color="auto"/>
              <w:right w:val="single" w:sz="8" w:space="0" w:color="auto"/>
            </w:tcBorders>
            <w:shd w:val="clear" w:color="auto" w:fill="auto"/>
            <w:noWrap/>
            <w:vAlign w:val="bottom"/>
            <w:hideMark/>
          </w:tcPr>
          <w:p w14:paraId="6E083FE3"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$54,883 </w:t>
            </w:r>
          </w:p>
        </w:tc>
      </w:tr>
      <w:tr w:rsidR="00AE5308" w:rsidRPr="00AE5308" w14:paraId="7BA2C2D3" w14:textId="77777777" w:rsidTr="00AE5308">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DE9E9AB"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2024</w:t>
            </w:r>
          </w:p>
        </w:tc>
        <w:tc>
          <w:tcPr>
            <w:tcW w:w="1820" w:type="dxa"/>
            <w:tcBorders>
              <w:top w:val="nil"/>
              <w:left w:val="nil"/>
              <w:bottom w:val="single" w:sz="4" w:space="0" w:color="auto"/>
              <w:right w:val="single" w:sz="4" w:space="0" w:color="auto"/>
            </w:tcBorders>
            <w:shd w:val="clear" w:color="auto" w:fill="auto"/>
            <w:noWrap/>
            <w:vAlign w:val="bottom"/>
            <w:hideMark/>
          </w:tcPr>
          <w:p w14:paraId="41B62913"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4" w:space="0" w:color="auto"/>
              <w:right w:val="single" w:sz="4" w:space="0" w:color="auto"/>
            </w:tcBorders>
            <w:shd w:val="clear" w:color="auto" w:fill="auto"/>
            <w:noWrap/>
            <w:vAlign w:val="bottom"/>
            <w:hideMark/>
          </w:tcPr>
          <w:p w14:paraId="0452A3BC"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$380,000 </w:t>
            </w:r>
          </w:p>
        </w:tc>
        <w:tc>
          <w:tcPr>
            <w:tcW w:w="2410" w:type="dxa"/>
            <w:tcBorders>
              <w:top w:val="nil"/>
              <w:left w:val="nil"/>
              <w:bottom w:val="single" w:sz="4" w:space="0" w:color="auto"/>
              <w:right w:val="single" w:sz="4" w:space="0" w:color="auto"/>
            </w:tcBorders>
            <w:shd w:val="clear" w:color="auto" w:fill="auto"/>
            <w:noWrap/>
            <w:vAlign w:val="bottom"/>
            <w:hideMark/>
          </w:tcPr>
          <w:p w14:paraId="71601100"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0" w:type="dxa"/>
            <w:tcBorders>
              <w:top w:val="nil"/>
              <w:left w:val="nil"/>
              <w:bottom w:val="single" w:sz="4" w:space="0" w:color="auto"/>
              <w:right w:val="single" w:sz="8" w:space="0" w:color="auto"/>
            </w:tcBorders>
            <w:shd w:val="clear" w:color="auto" w:fill="auto"/>
            <w:noWrap/>
            <w:vAlign w:val="bottom"/>
            <w:hideMark/>
          </w:tcPr>
          <w:p w14:paraId="0D792590"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$284,883 </w:t>
            </w:r>
          </w:p>
        </w:tc>
      </w:tr>
      <w:tr w:rsidR="00AE5308" w:rsidRPr="00AE5308" w14:paraId="5AA9C8AB" w14:textId="77777777" w:rsidTr="00AE5308">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191DBA"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2025</w:t>
            </w:r>
          </w:p>
        </w:tc>
        <w:tc>
          <w:tcPr>
            <w:tcW w:w="1820" w:type="dxa"/>
            <w:tcBorders>
              <w:top w:val="nil"/>
              <w:left w:val="nil"/>
              <w:bottom w:val="single" w:sz="4" w:space="0" w:color="auto"/>
              <w:right w:val="single" w:sz="4" w:space="0" w:color="auto"/>
            </w:tcBorders>
            <w:shd w:val="clear" w:color="auto" w:fill="auto"/>
            <w:noWrap/>
            <w:vAlign w:val="bottom"/>
            <w:hideMark/>
          </w:tcPr>
          <w:p w14:paraId="149632D4"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4" w:space="0" w:color="auto"/>
              <w:right w:val="single" w:sz="4" w:space="0" w:color="auto"/>
            </w:tcBorders>
            <w:shd w:val="clear" w:color="auto" w:fill="auto"/>
            <w:noWrap/>
            <w:vAlign w:val="bottom"/>
            <w:hideMark/>
          </w:tcPr>
          <w:p w14:paraId="6128A2B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$380,000 </w:t>
            </w:r>
          </w:p>
        </w:tc>
        <w:tc>
          <w:tcPr>
            <w:tcW w:w="2410" w:type="dxa"/>
            <w:tcBorders>
              <w:top w:val="nil"/>
              <w:left w:val="nil"/>
              <w:bottom w:val="single" w:sz="4" w:space="0" w:color="auto"/>
              <w:right w:val="single" w:sz="4" w:space="0" w:color="auto"/>
            </w:tcBorders>
            <w:shd w:val="clear" w:color="auto" w:fill="auto"/>
            <w:noWrap/>
            <w:vAlign w:val="bottom"/>
            <w:hideMark/>
          </w:tcPr>
          <w:p w14:paraId="6EF72D0E"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($309,930)</w:t>
            </w:r>
          </w:p>
        </w:tc>
        <w:tc>
          <w:tcPr>
            <w:tcW w:w="1620" w:type="dxa"/>
            <w:tcBorders>
              <w:top w:val="nil"/>
              <w:left w:val="nil"/>
              <w:bottom w:val="single" w:sz="4" w:space="0" w:color="auto"/>
              <w:right w:val="single" w:sz="8" w:space="0" w:color="auto"/>
            </w:tcBorders>
            <w:shd w:val="clear" w:color="auto" w:fill="auto"/>
            <w:noWrap/>
            <w:vAlign w:val="bottom"/>
            <w:hideMark/>
          </w:tcPr>
          <w:p w14:paraId="1B88657A"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$354,953 </w:t>
            </w:r>
          </w:p>
        </w:tc>
      </w:tr>
      <w:tr w:rsidR="00AE5308" w:rsidRPr="00AE5308" w14:paraId="12F0C180" w14:textId="77777777" w:rsidTr="00AE5308">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E842FAC"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2026</w:t>
            </w:r>
          </w:p>
        </w:tc>
        <w:tc>
          <w:tcPr>
            <w:tcW w:w="1820" w:type="dxa"/>
            <w:tcBorders>
              <w:top w:val="nil"/>
              <w:left w:val="nil"/>
              <w:bottom w:val="single" w:sz="4" w:space="0" w:color="auto"/>
              <w:right w:val="single" w:sz="4" w:space="0" w:color="auto"/>
            </w:tcBorders>
            <w:shd w:val="clear" w:color="auto" w:fill="auto"/>
            <w:noWrap/>
            <w:vAlign w:val="bottom"/>
            <w:hideMark/>
          </w:tcPr>
          <w:p w14:paraId="7025B45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4" w:space="0" w:color="auto"/>
              <w:right w:val="single" w:sz="4" w:space="0" w:color="auto"/>
            </w:tcBorders>
            <w:shd w:val="clear" w:color="auto" w:fill="auto"/>
            <w:noWrap/>
            <w:vAlign w:val="bottom"/>
            <w:hideMark/>
          </w:tcPr>
          <w:p w14:paraId="71858703"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$380,000 </w:t>
            </w:r>
          </w:p>
        </w:tc>
        <w:tc>
          <w:tcPr>
            <w:tcW w:w="2410" w:type="dxa"/>
            <w:tcBorders>
              <w:top w:val="nil"/>
              <w:left w:val="nil"/>
              <w:bottom w:val="single" w:sz="4" w:space="0" w:color="auto"/>
              <w:right w:val="single" w:sz="4" w:space="0" w:color="auto"/>
            </w:tcBorders>
            <w:shd w:val="clear" w:color="auto" w:fill="auto"/>
            <w:noWrap/>
            <w:vAlign w:val="bottom"/>
            <w:hideMark/>
          </w:tcPr>
          <w:p w14:paraId="2A996A83"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0" w:type="dxa"/>
            <w:tcBorders>
              <w:top w:val="nil"/>
              <w:left w:val="nil"/>
              <w:bottom w:val="single" w:sz="4" w:space="0" w:color="auto"/>
              <w:right w:val="single" w:sz="8" w:space="0" w:color="auto"/>
            </w:tcBorders>
            <w:shd w:val="clear" w:color="auto" w:fill="auto"/>
            <w:noWrap/>
            <w:vAlign w:val="bottom"/>
            <w:hideMark/>
          </w:tcPr>
          <w:p w14:paraId="5A97F722"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$584,953 </w:t>
            </w:r>
          </w:p>
        </w:tc>
      </w:tr>
      <w:tr w:rsidR="00AE5308" w:rsidRPr="00AE5308" w14:paraId="63782BE3" w14:textId="77777777" w:rsidTr="00AE5308">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93BFF6D"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2027</w:t>
            </w:r>
          </w:p>
        </w:tc>
        <w:tc>
          <w:tcPr>
            <w:tcW w:w="1820" w:type="dxa"/>
            <w:tcBorders>
              <w:top w:val="nil"/>
              <w:left w:val="nil"/>
              <w:bottom w:val="single" w:sz="4" w:space="0" w:color="auto"/>
              <w:right w:val="single" w:sz="4" w:space="0" w:color="auto"/>
            </w:tcBorders>
            <w:shd w:val="clear" w:color="auto" w:fill="auto"/>
            <w:noWrap/>
            <w:vAlign w:val="bottom"/>
            <w:hideMark/>
          </w:tcPr>
          <w:p w14:paraId="4DC2CDB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4" w:space="0" w:color="auto"/>
              <w:right w:val="single" w:sz="4" w:space="0" w:color="auto"/>
            </w:tcBorders>
            <w:shd w:val="clear" w:color="auto" w:fill="auto"/>
            <w:noWrap/>
            <w:vAlign w:val="bottom"/>
            <w:hideMark/>
          </w:tcPr>
          <w:p w14:paraId="455ACC82"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$380,000 </w:t>
            </w:r>
          </w:p>
        </w:tc>
        <w:tc>
          <w:tcPr>
            <w:tcW w:w="2410" w:type="dxa"/>
            <w:tcBorders>
              <w:top w:val="nil"/>
              <w:left w:val="nil"/>
              <w:bottom w:val="single" w:sz="4" w:space="0" w:color="auto"/>
              <w:right w:val="single" w:sz="4" w:space="0" w:color="auto"/>
            </w:tcBorders>
            <w:shd w:val="clear" w:color="auto" w:fill="auto"/>
            <w:noWrap/>
            <w:vAlign w:val="bottom"/>
            <w:hideMark/>
          </w:tcPr>
          <w:p w14:paraId="476467B3"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($309,930)</w:t>
            </w:r>
          </w:p>
        </w:tc>
        <w:tc>
          <w:tcPr>
            <w:tcW w:w="1620" w:type="dxa"/>
            <w:tcBorders>
              <w:top w:val="nil"/>
              <w:left w:val="nil"/>
              <w:bottom w:val="single" w:sz="4" w:space="0" w:color="auto"/>
              <w:right w:val="single" w:sz="8" w:space="0" w:color="auto"/>
            </w:tcBorders>
            <w:shd w:val="clear" w:color="auto" w:fill="auto"/>
            <w:noWrap/>
            <w:vAlign w:val="bottom"/>
            <w:hideMark/>
          </w:tcPr>
          <w:p w14:paraId="71EB1B03"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$655,023 </w:t>
            </w:r>
          </w:p>
        </w:tc>
      </w:tr>
      <w:tr w:rsidR="00AE5308" w:rsidRPr="00AE5308" w14:paraId="0C290377" w14:textId="77777777" w:rsidTr="00AE5308">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4388F9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2028</w:t>
            </w:r>
          </w:p>
        </w:tc>
        <w:tc>
          <w:tcPr>
            <w:tcW w:w="1820" w:type="dxa"/>
            <w:tcBorders>
              <w:top w:val="nil"/>
              <w:left w:val="nil"/>
              <w:bottom w:val="single" w:sz="4" w:space="0" w:color="auto"/>
              <w:right w:val="single" w:sz="4" w:space="0" w:color="auto"/>
            </w:tcBorders>
            <w:shd w:val="clear" w:color="auto" w:fill="auto"/>
            <w:noWrap/>
            <w:vAlign w:val="bottom"/>
            <w:hideMark/>
          </w:tcPr>
          <w:p w14:paraId="58E94B73"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4" w:space="0" w:color="auto"/>
              <w:right w:val="single" w:sz="4" w:space="0" w:color="auto"/>
            </w:tcBorders>
            <w:shd w:val="clear" w:color="auto" w:fill="auto"/>
            <w:noWrap/>
            <w:vAlign w:val="bottom"/>
            <w:hideMark/>
          </w:tcPr>
          <w:p w14:paraId="09007271"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$380,000 </w:t>
            </w:r>
          </w:p>
        </w:tc>
        <w:tc>
          <w:tcPr>
            <w:tcW w:w="2410" w:type="dxa"/>
            <w:tcBorders>
              <w:top w:val="nil"/>
              <w:left w:val="nil"/>
              <w:bottom w:val="single" w:sz="4" w:space="0" w:color="auto"/>
              <w:right w:val="single" w:sz="4" w:space="0" w:color="auto"/>
            </w:tcBorders>
            <w:shd w:val="clear" w:color="auto" w:fill="auto"/>
            <w:noWrap/>
            <w:vAlign w:val="bottom"/>
            <w:hideMark/>
          </w:tcPr>
          <w:p w14:paraId="71330F9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0" w:type="dxa"/>
            <w:tcBorders>
              <w:top w:val="nil"/>
              <w:left w:val="nil"/>
              <w:bottom w:val="single" w:sz="4" w:space="0" w:color="auto"/>
              <w:right w:val="single" w:sz="8" w:space="0" w:color="auto"/>
            </w:tcBorders>
            <w:shd w:val="clear" w:color="auto" w:fill="auto"/>
            <w:noWrap/>
            <w:vAlign w:val="bottom"/>
            <w:hideMark/>
          </w:tcPr>
          <w:p w14:paraId="4EEA436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$885,023 </w:t>
            </w:r>
          </w:p>
        </w:tc>
      </w:tr>
      <w:tr w:rsidR="00AE5308" w:rsidRPr="00AE5308" w14:paraId="479C1B31" w14:textId="77777777" w:rsidTr="00AE5308">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C76AA6C"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2029</w:t>
            </w:r>
          </w:p>
        </w:tc>
        <w:tc>
          <w:tcPr>
            <w:tcW w:w="1820" w:type="dxa"/>
            <w:tcBorders>
              <w:top w:val="nil"/>
              <w:left w:val="nil"/>
              <w:bottom w:val="single" w:sz="4" w:space="0" w:color="auto"/>
              <w:right w:val="single" w:sz="4" w:space="0" w:color="auto"/>
            </w:tcBorders>
            <w:shd w:val="clear" w:color="auto" w:fill="auto"/>
            <w:noWrap/>
            <w:vAlign w:val="bottom"/>
            <w:hideMark/>
          </w:tcPr>
          <w:p w14:paraId="0F74C1EF"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4" w:space="0" w:color="auto"/>
              <w:right w:val="single" w:sz="4" w:space="0" w:color="auto"/>
            </w:tcBorders>
            <w:shd w:val="clear" w:color="auto" w:fill="auto"/>
            <w:noWrap/>
            <w:vAlign w:val="bottom"/>
            <w:hideMark/>
          </w:tcPr>
          <w:p w14:paraId="0D40B95B"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$380,000 </w:t>
            </w:r>
          </w:p>
        </w:tc>
        <w:tc>
          <w:tcPr>
            <w:tcW w:w="2410" w:type="dxa"/>
            <w:tcBorders>
              <w:top w:val="nil"/>
              <w:left w:val="nil"/>
              <w:bottom w:val="single" w:sz="4" w:space="0" w:color="auto"/>
              <w:right w:val="single" w:sz="4" w:space="0" w:color="auto"/>
            </w:tcBorders>
            <w:shd w:val="clear" w:color="auto" w:fill="auto"/>
            <w:noWrap/>
            <w:vAlign w:val="bottom"/>
            <w:hideMark/>
          </w:tcPr>
          <w:p w14:paraId="07138F22"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($309,930)</w:t>
            </w:r>
          </w:p>
        </w:tc>
        <w:tc>
          <w:tcPr>
            <w:tcW w:w="1620" w:type="dxa"/>
            <w:tcBorders>
              <w:top w:val="nil"/>
              <w:left w:val="nil"/>
              <w:bottom w:val="single" w:sz="4" w:space="0" w:color="auto"/>
              <w:right w:val="single" w:sz="8" w:space="0" w:color="auto"/>
            </w:tcBorders>
            <w:shd w:val="clear" w:color="auto" w:fill="auto"/>
            <w:noWrap/>
            <w:vAlign w:val="bottom"/>
            <w:hideMark/>
          </w:tcPr>
          <w:p w14:paraId="1466D23D"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$955,093 </w:t>
            </w:r>
          </w:p>
        </w:tc>
      </w:tr>
      <w:tr w:rsidR="00AE5308" w:rsidRPr="00AE5308" w14:paraId="0A2013D4" w14:textId="77777777" w:rsidTr="00AE5308">
        <w:trPr>
          <w:trHeight w:val="300"/>
          <w:jc w:val="center"/>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4ACC0702"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2030</w:t>
            </w:r>
          </w:p>
        </w:tc>
        <w:tc>
          <w:tcPr>
            <w:tcW w:w="1820" w:type="dxa"/>
            <w:tcBorders>
              <w:top w:val="nil"/>
              <w:left w:val="nil"/>
              <w:bottom w:val="single" w:sz="8" w:space="0" w:color="auto"/>
              <w:right w:val="single" w:sz="4" w:space="0" w:color="auto"/>
            </w:tcBorders>
            <w:shd w:val="clear" w:color="auto" w:fill="auto"/>
            <w:noWrap/>
            <w:vAlign w:val="bottom"/>
            <w:hideMark/>
          </w:tcPr>
          <w:p w14:paraId="1035BA43"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0.50</w:t>
            </w:r>
          </w:p>
        </w:tc>
        <w:tc>
          <w:tcPr>
            <w:tcW w:w="1820" w:type="dxa"/>
            <w:tcBorders>
              <w:top w:val="nil"/>
              <w:left w:val="nil"/>
              <w:bottom w:val="single" w:sz="8" w:space="0" w:color="auto"/>
              <w:right w:val="single" w:sz="4" w:space="0" w:color="auto"/>
            </w:tcBorders>
            <w:shd w:val="clear" w:color="auto" w:fill="auto"/>
            <w:noWrap/>
            <w:vAlign w:val="bottom"/>
            <w:hideMark/>
          </w:tcPr>
          <w:p w14:paraId="78374A58"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$380,000 </w:t>
            </w:r>
          </w:p>
        </w:tc>
        <w:tc>
          <w:tcPr>
            <w:tcW w:w="2410" w:type="dxa"/>
            <w:tcBorders>
              <w:top w:val="nil"/>
              <w:left w:val="nil"/>
              <w:bottom w:val="single" w:sz="8" w:space="0" w:color="auto"/>
              <w:right w:val="single" w:sz="4" w:space="0" w:color="auto"/>
            </w:tcBorders>
            <w:shd w:val="clear" w:color="auto" w:fill="auto"/>
            <w:noWrap/>
            <w:vAlign w:val="bottom"/>
            <w:hideMark/>
          </w:tcPr>
          <w:p w14:paraId="7C2C0009"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FF0000"/>
              </w:rPr>
              <w:t>($150,000)</w:t>
            </w:r>
          </w:p>
        </w:tc>
        <w:tc>
          <w:tcPr>
            <w:tcW w:w="1620" w:type="dxa"/>
            <w:tcBorders>
              <w:top w:val="nil"/>
              <w:left w:val="nil"/>
              <w:bottom w:val="single" w:sz="8" w:space="0" w:color="auto"/>
              <w:right w:val="single" w:sz="8" w:space="0" w:color="auto"/>
            </w:tcBorders>
            <w:shd w:val="clear" w:color="auto" w:fill="auto"/>
            <w:noWrap/>
            <w:vAlign w:val="bottom"/>
            <w:hideMark/>
          </w:tcPr>
          <w:p w14:paraId="3F0A5307" w14:textId="77777777" w:rsidR="00AE5308" w:rsidRPr="00AE5308" w:rsidRDefault="00AE5308" w:rsidP="00AE5308">
            <w:pPr>
              <w:spacing w:after="0" w:line="240" w:lineRule="auto"/>
              <w:jc w:val="right"/>
              <w:rPr>
                <w:rFonts w:ascii="Calibri" w:eastAsia="Times New Roman" w:hAnsi="Calibri" w:cs="Calibri"/>
                <w:color w:val="000000"/>
              </w:rPr>
            </w:pPr>
            <w:r w:rsidRPr="00AE5308">
              <w:rPr>
                <w:rFonts w:ascii="Calibri" w:eastAsia="Times New Roman" w:hAnsi="Calibri" w:cs="Calibri"/>
                <w:color w:val="000000"/>
              </w:rPr>
              <w:t xml:space="preserve">$1,185,093 </w:t>
            </w:r>
          </w:p>
        </w:tc>
      </w:tr>
    </w:tbl>
    <w:p w14:paraId="08CDA184" w14:textId="77777777" w:rsidR="00AE5308" w:rsidRDefault="00AE5308" w:rsidP="000B1134">
      <w:pPr>
        <w:spacing w:after="0" w:line="240" w:lineRule="auto"/>
        <w:jc w:val="center"/>
        <w:rPr>
          <w:rFonts w:ascii="Calibri" w:eastAsia="Times New Roman" w:hAnsi="Calibri" w:cs="Calibri"/>
          <w:color w:val="FF0000"/>
          <w:sz w:val="26"/>
          <w:szCs w:val="26"/>
          <w:lang w:bidi="he-IL"/>
        </w:rPr>
      </w:pPr>
    </w:p>
    <w:p w14:paraId="2AA6B6F3" w14:textId="24270A94" w:rsidR="00BE53FD" w:rsidRDefault="00AE5308" w:rsidP="000B1134">
      <w:pPr>
        <w:spacing w:after="0" w:line="240" w:lineRule="auto"/>
        <w:jc w:val="center"/>
        <w:rPr>
          <w:rFonts w:ascii="Calibri" w:eastAsia="Times New Roman" w:hAnsi="Calibri" w:cs="Calibri"/>
          <w:color w:val="FF0000"/>
          <w:sz w:val="26"/>
          <w:szCs w:val="26"/>
          <w:lang w:bidi="he-IL"/>
        </w:rPr>
      </w:pPr>
      <w:r>
        <w:rPr>
          <w:noProof/>
        </w:rPr>
        <w:drawing>
          <wp:inline distT="0" distB="0" distL="0" distR="0" wp14:anchorId="2C27A2A2" wp14:editId="6F40CDE0">
            <wp:extent cx="5553075" cy="2295525"/>
            <wp:effectExtent l="0" t="0" r="9525" b="9525"/>
            <wp:docPr id="11" name="Chart 11">
              <a:extLst xmlns:a="http://schemas.openxmlformats.org/drawingml/2006/main">
                <a:ext uri="{FF2B5EF4-FFF2-40B4-BE49-F238E27FC236}">
                  <a16:creationId xmlns:a16="http://schemas.microsoft.com/office/drawing/2014/main" id="{A3129C8E-4790-4555-9E40-32371BE752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6049ED" w14:textId="3400CDE2" w:rsidR="00BE53FD" w:rsidRDefault="00BE53FD" w:rsidP="00F33629">
      <w:pPr>
        <w:spacing w:after="0" w:line="240" w:lineRule="auto"/>
        <w:rPr>
          <w:rFonts w:ascii="Calibri" w:eastAsia="Times New Roman" w:hAnsi="Calibri" w:cs="Calibri"/>
          <w:color w:val="FF0000"/>
          <w:sz w:val="26"/>
          <w:szCs w:val="26"/>
          <w:lang w:bidi="he-IL"/>
        </w:rPr>
      </w:pPr>
    </w:p>
    <w:p w14:paraId="1DE72734" w14:textId="77777777" w:rsidR="00BE53FD" w:rsidRPr="00F33629" w:rsidRDefault="00BE53FD" w:rsidP="00F33629">
      <w:pPr>
        <w:spacing w:after="0" w:line="240" w:lineRule="auto"/>
        <w:rPr>
          <w:rFonts w:ascii="Calibri" w:eastAsia="Times New Roman" w:hAnsi="Calibri" w:cs="Calibri"/>
          <w:color w:val="FF0000"/>
          <w:sz w:val="26"/>
          <w:szCs w:val="26"/>
          <w:lang w:bidi="he-IL"/>
        </w:rPr>
      </w:pPr>
    </w:p>
    <w:p w14:paraId="1BA95488" w14:textId="58CE8A9B" w:rsidR="0038231A" w:rsidRPr="0038231A" w:rsidRDefault="0038231A" w:rsidP="0038231A">
      <w:pPr>
        <w:pStyle w:val="ListParagraph"/>
        <w:numPr>
          <w:ilvl w:val="0"/>
          <w:numId w:val="1"/>
        </w:numPr>
        <w:spacing w:after="0" w:line="240" w:lineRule="auto"/>
        <w:rPr>
          <w:rFonts w:ascii="Calibri" w:eastAsia="Times New Roman" w:hAnsi="Calibri" w:cs="Calibri"/>
          <w:b/>
          <w:bCs/>
          <w:color w:val="1C3158"/>
          <w:sz w:val="26"/>
          <w:szCs w:val="26"/>
          <w:lang w:bidi="he-IL"/>
        </w:rPr>
      </w:pPr>
      <w:r w:rsidRPr="0038231A">
        <w:rPr>
          <w:rFonts w:ascii="Calibri" w:eastAsia="Times New Roman" w:hAnsi="Calibri" w:cs="Calibri"/>
          <w:b/>
          <w:bCs/>
          <w:color w:val="1C3158"/>
          <w:sz w:val="26"/>
          <w:szCs w:val="26"/>
          <w:lang w:bidi="he-IL"/>
        </w:rPr>
        <w:t>WMAP Project Updates</w:t>
      </w:r>
    </w:p>
    <w:p w14:paraId="79CDAB17" w14:textId="490DE8D0" w:rsidR="00C92867" w:rsidRPr="00C92867" w:rsidRDefault="00C92867" w:rsidP="0038231A">
      <w:pPr>
        <w:pStyle w:val="ListParagraph"/>
        <w:numPr>
          <w:ilvl w:val="1"/>
          <w:numId w:val="1"/>
        </w:numPr>
        <w:spacing w:after="0" w:line="240" w:lineRule="auto"/>
        <w:rPr>
          <w:rFonts w:ascii="Calibri" w:eastAsia="Times New Roman" w:hAnsi="Calibri" w:cs="Calibri"/>
          <w:color w:val="00B050"/>
          <w:sz w:val="26"/>
          <w:szCs w:val="26"/>
          <w:lang w:bidi="he-IL"/>
        </w:rPr>
      </w:pPr>
      <w:r w:rsidRPr="00C92867">
        <w:rPr>
          <w:rFonts w:ascii="Calibri" w:eastAsia="Times New Roman" w:hAnsi="Calibri" w:cs="Calibri"/>
          <w:color w:val="00B050"/>
          <w:sz w:val="26"/>
          <w:szCs w:val="26"/>
          <w:lang w:bidi="he-IL"/>
        </w:rPr>
        <w:t xml:space="preserve">Contract 2020-3112 (APW) is requesting renewal of their contract for $150,000 for a term of 2 years. </w:t>
      </w:r>
    </w:p>
    <w:p w14:paraId="35A94A1B" w14:textId="5F150639" w:rsidR="00C92867" w:rsidRPr="007012D0" w:rsidRDefault="00C92867" w:rsidP="00C92867">
      <w:pPr>
        <w:pStyle w:val="ListParagraph"/>
        <w:numPr>
          <w:ilvl w:val="2"/>
          <w:numId w:val="1"/>
        </w:numPr>
        <w:spacing w:after="0" w:line="240" w:lineRule="auto"/>
        <w:rPr>
          <w:rFonts w:ascii="Calibri" w:eastAsia="Times New Roman" w:hAnsi="Calibri" w:cs="Calibri"/>
          <w:color w:val="00B050"/>
          <w:sz w:val="26"/>
          <w:szCs w:val="26"/>
          <w:lang w:bidi="he-IL"/>
        </w:rPr>
      </w:pPr>
      <w:r w:rsidRPr="007012D0">
        <w:rPr>
          <w:rFonts w:ascii="Calibri" w:eastAsia="Times New Roman" w:hAnsi="Calibri" w:cs="Calibri"/>
          <w:color w:val="00B050"/>
          <w:sz w:val="26"/>
          <w:szCs w:val="26"/>
          <w:lang w:bidi="he-IL"/>
        </w:rPr>
        <w:t>Attached is the Scope of Work for your review</w:t>
      </w:r>
    </w:p>
    <w:p w14:paraId="06A83A59" w14:textId="35A443E6" w:rsidR="0038231A" w:rsidRDefault="00B54C99" w:rsidP="0038231A">
      <w:pPr>
        <w:pStyle w:val="ListParagraph"/>
        <w:numPr>
          <w:ilvl w:val="1"/>
          <w:numId w:val="1"/>
        </w:numPr>
        <w:spacing w:after="0" w:line="240" w:lineRule="auto"/>
        <w:rPr>
          <w:rFonts w:ascii="Calibri" w:eastAsia="Times New Roman" w:hAnsi="Calibri" w:cs="Calibri"/>
          <w:color w:val="1C3158"/>
          <w:sz w:val="26"/>
          <w:szCs w:val="26"/>
          <w:lang w:bidi="he-IL"/>
        </w:rPr>
      </w:pPr>
      <w:r w:rsidRPr="00B54C99">
        <w:rPr>
          <w:rFonts w:ascii="Calibri" w:eastAsia="Times New Roman" w:hAnsi="Calibri" w:cs="Calibri"/>
          <w:color w:val="1C3158"/>
          <w:sz w:val="26"/>
          <w:szCs w:val="26"/>
          <w:lang w:bidi="he-IL"/>
        </w:rPr>
        <w:t>Contract 202</w:t>
      </w:r>
      <w:r w:rsidR="003036EC">
        <w:rPr>
          <w:rFonts w:ascii="Calibri" w:eastAsia="Times New Roman" w:hAnsi="Calibri" w:cs="Calibri"/>
          <w:color w:val="1C3158"/>
          <w:sz w:val="26"/>
          <w:szCs w:val="26"/>
          <w:lang w:bidi="he-IL"/>
        </w:rPr>
        <w:t>1-3142 (WUIW)</w:t>
      </w:r>
      <w:r w:rsidRPr="00B54C99">
        <w:rPr>
          <w:rFonts w:ascii="Calibri" w:eastAsia="Times New Roman" w:hAnsi="Calibri" w:cs="Calibri"/>
          <w:color w:val="1C3158"/>
          <w:sz w:val="26"/>
          <w:szCs w:val="26"/>
          <w:lang w:bidi="he-IL"/>
        </w:rPr>
        <w:t xml:space="preserve"> recently </w:t>
      </w:r>
      <w:r w:rsidR="003036EC">
        <w:rPr>
          <w:rFonts w:ascii="Calibri" w:eastAsia="Times New Roman" w:hAnsi="Calibri" w:cs="Calibri"/>
          <w:color w:val="1C3158"/>
          <w:sz w:val="26"/>
          <w:szCs w:val="26"/>
          <w:lang w:bidi="he-IL"/>
        </w:rPr>
        <w:t xml:space="preserve">completed the requirements of their contract. This project was not selected to receive further funding by the ADWR Director. </w:t>
      </w:r>
    </w:p>
    <w:p w14:paraId="65B96BF3" w14:textId="16614E94" w:rsidR="00F32640" w:rsidRPr="00B54C99" w:rsidRDefault="00F32640" w:rsidP="0038231A">
      <w:pPr>
        <w:pStyle w:val="ListParagraph"/>
        <w:numPr>
          <w:ilvl w:val="1"/>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 xml:space="preserve">Contract 2019-3076 (Xeriscape) recently completed the requirements of their contract, and the garden is complete. They will be present a final report at the GUAC. </w:t>
      </w:r>
    </w:p>
    <w:p w14:paraId="2842F070" w14:textId="16D6339E" w:rsidR="00B54C99" w:rsidRPr="00B54C99" w:rsidRDefault="00B54C99" w:rsidP="00B54C99">
      <w:pPr>
        <w:pStyle w:val="ListParagraph"/>
        <w:numPr>
          <w:ilvl w:val="0"/>
          <w:numId w:val="1"/>
        </w:numPr>
        <w:spacing w:after="0" w:line="240" w:lineRule="auto"/>
        <w:rPr>
          <w:rFonts w:ascii="Calibri" w:eastAsia="Times New Roman" w:hAnsi="Calibri" w:cs="Calibri"/>
          <w:b/>
          <w:bCs/>
          <w:color w:val="1C3158"/>
          <w:sz w:val="26"/>
          <w:szCs w:val="26"/>
          <w:lang w:bidi="he-IL"/>
        </w:rPr>
      </w:pPr>
      <w:r w:rsidRPr="00B54C99">
        <w:rPr>
          <w:rFonts w:ascii="Calibri" w:eastAsia="Times New Roman" w:hAnsi="Calibri" w:cs="Calibri"/>
          <w:b/>
          <w:bCs/>
          <w:color w:val="1C3158"/>
          <w:sz w:val="26"/>
          <w:szCs w:val="26"/>
          <w:lang w:bidi="he-IL"/>
        </w:rPr>
        <w:t>Groundwater Conservation Grant Project</w:t>
      </w:r>
      <w:r w:rsidR="007B5BE8">
        <w:rPr>
          <w:rFonts w:ascii="Calibri" w:eastAsia="Times New Roman" w:hAnsi="Calibri" w:cs="Calibri"/>
          <w:b/>
          <w:bCs/>
          <w:color w:val="1C3158"/>
          <w:sz w:val="26"/>
          <w:szCs w:val="26"/>
          <w:lang w:bidi="he-IL"/>
        </w:rPr>
        <w:t xml:space="preserve"> Updates</w:t>
      </w:r>
    </w:p>
    <w:p w14:paraId="099ACDA6" w14:textId="014C27BA" w:rsidR="00B54C99" w:rsidRPr="00B54C99" w:rsidRDefault="00B54C99" w:rsidP="00B54C99">
      <w:pPr>
        <w:pStyle w:val="ListParagraph"/>
        <w:numPr>
          <w:ilvl w:val="1"/>
          <w:numId w:val="1"/>
        </w:numPr>
        <w:spacing w:after="0" w:line="240" w:lineRule="auto"/>
        <w:rPr>
          <w:rFonts w:ascii="Calibri" w:eastAsia="Times New Roman" w:hAnsi="Calibri" w:cs="Calibri"/>
          <w:color w:val="1C3158"/>
          <w:sz w:val="26"/>
          <w:szCs w:val="26"/>
          <w:lang w:bidi="he-IL"/>
        </w:rPr>
      </w:pPr>
      <w:r w:rsidRPr="00B54C99">
        <w:rPr>
          <w:rFonts w:ascii="Calibri" w:eastAsia="Times New Roman" w:hAnsi="Calibri" w:cs="Calibri"/>
          <w:color w:val="1C3158"/>
          <w:sz w:val="26"/>
          <w:szCs w:val="26"/>
          <w:lang w:bidi="he-IL"/>
        </w:rPr>
        <w:t>Contract 2020-3</w:t>
      </w:r>
      <w:r w:rsidR="00F32640">
        <w:rPr>
          <w:rFonts w:ascii="Calibri" w:eastAsia="Times New Roman" w:hAnsi="Calibri" w:cs="Calibri"/>
          <w:color w:val="1C3158"/>
          <w:sz w:val="26"/>
          <w:szCs w:val="26"/>
          <w:lang w:bidi="he-IL"/>
        </w:rPr>
        <w:t>114</w:t>
      </w:r>
      <w:r w:rsidRPr="00B54C99">
        <w:rPr>
          <w:rFonts w:ascii="Calibri" w:eastAsia="Times New Roman" w:hAnsi="Calibri" w:cs="Calibri"/>
          <w:color w:val="1C3158"/>
          <w:sz w:val="26"/>
          <w:szCs w:val="26"/>
          <w:lang w:bidi="he-IL"/>
        </w:rPr>
        <w:t xml:space="preserve"> has submitted </w:t>
      </w:r>
      <w:r w:rsidR="00D37645">
        <w:rPr>
          <w:rFonts w:ascii="Calibri" w:eastAsia="Times New Roman" w:hAnsi="Calibri" w:cs="Calibri"/>
          <w:color w:val="1C3158"/>
          <w:sz w:val="26"/>
          <w:szCs w:val="26"/>
          <w:lang w:bidi="he-IL"/>
        </w:rPr>
        <w:t>4</w:t>
      </w:r>
      <w:r w:rsidRPr="00B54C99">
        <w:rPr>
          <w:rFonts w:ascii="Calibri" w:eastAsia="Times New Roman" w:hAnsi="Calibri" w:cs="Calibri"/>
          <w:color w:val="1C3158"/>
          <w:sz w:val="26"/>
          <w:szCs w:val="26"/>
          <w:lang w:bidi="he-IL"/>
        </w:rPr>
        <w:t>/</w:t>
      </w:r>
      <w:r w:rsidR="00D37645">
        <w:rPr>
          <w:rFonts w:ascii="Calibri" w:eastAsia="Times New Roman" w:hAnsi="Calibri" w:cs="Calibri"/>
          <w:color w:val="1C3158"/>
          <w:sz w:val="26"/>
          <w:szCs w:val="26"/>
          <w:lang w:bidi="he-IL"/>
        </w:rPr>
        <w:t>8</w:t>
      </w:r>
      <w:r w:rsidRPr="00B54C99">
        <w:rPr>
          <w:rFonts w:ascii="Calibri" w:eastAsia="Times New Roman" w:hAnsi="Calibri" w:cs="Calibri"/>
          <w:color w:val="1C3158"/>
          <w:sz w:val="26"/>
          <w:szCs w:val="26"/>
          <w:lang w:bidi="he-IL"/>
        </w:rPr>
        <w:t xml:space="preserve"> deliverables, the most recent being </w:t>
      </w:r>
      <w:r w:rsidR="00D37645">
        <w:rPr>
          <w:rFonts w:ascii="Calibri" w:eastAsia="Times New Roman" w:hAnsi="Calibri" w:cs="Calibri"/>
          <w:color w:val="1C3158"/>
          <w:sz w:val="26"/>
          <w:szCs w:val="26"/>
          <w:lang w:bidi="he-IL"/>
        </w:rPr>
        <w:t>the first implementation of the 3-part GEC Program for at least 3 schools.</w:t>
      </w:r>
    </w:p>
    <w:p w14:paraId="730A2B24" w14:textId="6B78BB66" w:rsidR="00B54C99" w:rsidRDefault="00B54C99" w:rsidP="00B54C99">
      <w:pPr>
        <w:pStyle w:val="ListParagraph"/>
        <w:numPr>
          <w:ilvl w:val="1"/>
          <w:numId w:val="1"/>
        </w:numPr>
        <w:spacing w:after="0" w:line="240" w:lineRule="auto"/>
        <w:rPr>
          <w:rFonts w:ascii="Calibri" w:eastAsia="Times New Roman" w:hAnsi="Calibri" w:cs="Calibri"/>
          <w:color w:val="1C3158"/>
          <w:sz w:val="26"/>
          <w:szCs w:val="26"/>
          <w:lang w:bidi="he-IL"/>
        </w:rPr>
      </w:pPr>
      <w:r w:rsidRPr="00B54C99">
        <w:rPr>
          <w:rFonts w:ascii="Calibri" w:eastAsia="Times New Roman" w:hAnsi="Calibri" w:cs="Calibri"/>
          <w:color w:val="1C3158"/>
          <w:sz w:val="26"/>
          <w:szCs w:val="26"/>
          <w:lang w:bidi="he-IL"/>
        </w:rPr>
        <w:lastRenderedPageBreak/>
        <w:t xml:space="preserve">Contract </w:t>
      </w:r>
      <w:r>
        <w:rPr>
          <w:rFonts w:ascii="Calibri" w:eastAsia="Times New Roman" w:hAnsi="Calibri" w:cs="Calibri"/>
          <w:color w:val="1C3158"/>
          <w:sz w:val="26"/>
          <w:szCs w:val="26"/>
          <w:lang w:bidi="he-IL"/>
        </w:rPr>
        <w:t>2020-3</w:t>
      </w:r>
      <w:r w:rsidR="00F32640">
        <w:rPr>
          <w:rFonts w:ascii="Calibri" w:eastAsia="Times New Roman" w:hAnsi="Calibri" w:cs="Calibri"/>
          <w:color w:val="1C3158"/>
          <w:sz w:val="26"/>
          <w:szCs w:val="26"/>
          <w:lang w:bidi="he-IL"/>
        </w:rPr>
        <w:t>115</w:t>
      </w:r>
      <w:r>
        <w:rPr>
          <w:rFonts w:ascii="Calibri" w:eastAsia="Times New Roman" w:hAnsi="Calibri" w:cs="Calibri"/>
          <w:color w:val="1C3158"/>
          <w:sz w:val="26"/>
          <w:szCs w:val="26"/>
          <w:lang w:bidi="he-IL"/>
        </w:rPr>
        <w:t xml:space="preserve"> has submitted </w:t>
      </w:r>
      <w:r w:rsidR="00D37645">
        <w:rPr>
          <w:rFonts w:ascii="Calibri" w:eastAsia="Times New Roman" w:hAnsi="Calibri" w:cs="Calibri"/>
          <w:color w:val="1C3158"/>
          <w:sz w:val="26"/>
          <w:szCs w:val="26"/>
          <w:lang w:bidi="he-IL"/>
        </w:rPr>
        <w:t>5/11</w:t>
      </w:r>
      <w:r>
        <w:rPr>
          <w:rFonts w:ascii="Calibri" w:eastAsia="Times New Roman" w:hAnsi="Calibri" w:cs="Calibri"/>
          <w:color w:val="1C3158"/>
          <w:sz w:val="26"/>
          <w:szCs w:val="26"/>
          <w:lang w:bidi="he-IL"/>
        </w:rPr>
        <w:t xml:space="preserve"> deliverables, the most recent being </w:t>
      </w:r>
      <w:r w:rsidR="00D37645">
        <w:rPr>
          <w:rFonts w:ascii="Calibri" w:eastAsia="Times New Roman" w:hAnsi="Calibri" w:cs="Calibri"/>
          <w:color w:val="1C3158"/>
          <w:sz w:val="26"/>
          <w:szCs w:val="26"/>
          <w:lang w:bidi="he-IL"/>
        </w:rPr>
        <w:t>the second quarter construction report.</w:t>
      </w:r>
    </w:p>
    <w:p w14:paraId="487056B0" w14:textId="35B6B3B1" w:rsidR="00B54C99" w:rsidRDefault="00B54C99" w:rsidP="00B54C99">
      <w:pPr>
        <w:pStyle w:val="ListParagraph"/>
        <w:numPr>
          <w:ilvl w:val="1"/>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Contract 2020-311</w:t>
      </w:r>
      <w:r w:rsidR="00F32640">
        <w:rPr>
          <w:rFonts w:ascii="Calibri" w:eastAsia="Times New Roman" w:hAnsi="Calibri" w:cs="Calibri"/>
          <w:color w:val="1C3158"/>
          <w:sz w:val="26"/>
          <w:szCs w:val="26"/>
          <w:lang w:bidi="he-IL"/>
        </w:rPr>
        <w:t>6</w:t>
      </w:r>
      <w:r>
        <w:rPr>
          <w:rFonts w:ascii="Calibri" w:eastAsia="Times New Roman" w:hAnsi="Calibri" w:cs="Calibri"/>
          <w:color w:val="1C3158"/>
          <w:sz w:val="26"/>
          <w:szCs w:val="26"/>
          <w:lang w:bidi="he-IL"/>
        </w:rPr>
        <w:t xml:space="preserve"> has submitted </w:t>
      </w:r>
      <w:r w:rsidR="00D37645">
        <w:rPr>
          <w:rFonts w:ascii="Calibri" w:eastAsia="Times New Roman" w:hAnsi="Calibri" w:cs="Calibri"/>
          <w:color w:val="1C3158"/>
          <w:sz w:val="26"/>
          <w:szCs w:val="26"/>
          <w:lang w:bidi="he-IL"/>
        </w:rPr>
        <w:t>2/10</w:t>
      </w:r>
      <w:r>
        <w:rPr>
          <w:rFonts w:ascii="Calibri" w:eastAsia="Times New Roman" w:hAnsi="Calibri" w:cs="Calibri"/>
          <w:color w:val="1C3158"/>
          <w:sz w:val="26"/>
          <w:szCs w:val="26"/>
          <w:lang w:bidi="he-IL"/>
        </w:rPr>
        <w:t xml:space="preserve"> deliverables, the most recent being th</w:t>
      </w:r>
      <w:r w:rsidR="00D37645">
        <w:rPr>
          <w:rFonts w:ascii="Calibri" w:eastAsia="Times New Roman" w:hAnsi="Calibri" w:cs="Calibri"/>
          <w:color w:val="1C3158"/>
          <w:sz w:val="26"/>
          <w:szCs w:val="26"/>
          <w:lang w:bidi="he-IL"/>
        </w:rPr>
        <w:t xml:space="preserve">e Xeriscape Program Plan and conservation site tracking. </w:t>
      </w:r>
    </w:p>
    <w:p w14:paraId="777B7205" w14:textId="5AB48A6A" w:rsidR="00F32640" w:rsidRPr="00B54C99" w:rsidRDefault="00F32640" w:rsidP="00F32640">
      <w:pPr>
        <w:pStyle w:val="ListParagraph"/>
        <w:numPr>
          <w:ilvl w:val="1"/>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 xml:space="preserve">Contract 2020-3117 has submitted </w:t>
      </w:r>
      <w:r w:rsidR="00D37645">
        <w:rPr>
          <w:rFonts w:ascii="Calibri" w:eastAsia="Times New Roman" w:hAnsi="Calibri" w:cs="Calibri"/>
          <w:color w:val="1C3158"/>
          <w:sz w:val="26"/>
          <w:szCs w:val="26"/>
          <w:lang w:bidi="he-IL"/>
        </w:rPr>
        <w:t>3/6</w:t>
      </w:r>
      <w:r>
        <w:rPr>
          <w:rFonts w:ascii="Calibri" w:eastAsia="Times New Roman" w:hAnsi="Calibri" w:cs="Calibri"/>
          <w:color w:val="1C3158"/>
          <w:sz w:val="26"/>
          <w:szCs w:val="26"/>
          <w:lang w:bidi="he-IL"/>
        </w:rPr>
        <w:t xml:space="preserve"> deliverables, the most recent being </w:t>
      </w:r>
      <w:r w:rsidR="00D37645">
        <w:rPr>
          <w:rFonts w:ascii="Calibri" w:eastAsia="Times New Roman" w:hAnsi="Calibri" w:cs="Calibri"/>
          <w:color w:val="1C3158"/>
          <w:sz w:val="26"/>
          <w:szCs w:val="26"/>
          <w:lang w:bidi="he-IL"/>
        </w:rPr>
        <w:t xml:space="preserve">the second summary of sites and actions, as well as copies of the audit reports. </w:t>
      </w:r>
    </w:p>
    <w:p w14:paraId="55D22539" w14:textId="48CC2446" w:rsidR="00F32640" w:rsidRDefault="00F32640" w:rsidP="00F32640">
      <w:pPr>
        <w:pStyle w:val="ListParagraph"/>
        <w:numPr>
          <w:ilvl w:val="1"/>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 xml:space="preserve">Contract 2020-3118 has submitted </w:t>
      </w:r>
      <w:r w:rsidR="00D37645">
        <w:rPr>
          <w:rFonts w:ascii="Calibri" w:eastAsia="Times New Roman" w:hAnsi="Calibri" w:cs="Calibri"/>
          <w:color w:val="1C3158"/>
          <w:sz w:val="26"/>
          <w:szCs w:val="26"/>
          <w:lang w:bidi="he-IL"/>
        </w:rPr>
        <w:t>15/15</w:t>
      </w:r>
      <w:r>
        <w:rPr>
          <w:rFonts w:ascii="Calibri" w:eastAsia="Times New Roman" w:hAnsi="Calibri" w:cs="Calibri"/>
          <w:color w:val="1C3158"/>
          <w:sz w:val="26"/>
          <w:szCs w:val="26"/>
          <w:lang w:bidi="he-IL"/>
        </w:rPr>
        <w:t xml:space="preserve"> deliverables, the most recent being t</w:t>
      </w:r>
      <w:r w:rsidR="00D37645">
        <w:rPr>
          <w:rFonts w:ascii="Calibri" w:eastAsia="Times New Roman" w:hAnsi="Calibri" w:cs="Calibri"/>
          <w:color w:val="1C3158"/>
          <w:sz w:val="26"/>
          <w:szCs w:val="26"/>
          <w:lang w:bidi="he-IL"/>
        </w:rPr>
        <w:t>he campaign implementation and final report.</w:t>
      </w:r>
    </w:p>
    <w:p w14:paraId="5A987755" w14:textId="69D232EF" w:rsidR="00D37645" w:rsidRPr="00B54C99" w:rsidRDefault="00D37645" w:rsidP="00D37645">
      <w:pPr>
        <w:pStyle w:val="ListParagraph"/>
        <w:numPr>
          <w:ilvl w:val="2"/>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This is the first Groundwater Conservation Grant project to complete the requirements of</w:t>
      </w:r>
      <w:r w:rsidR="001F321C">
        <w:rPr>
          <w:rFonts w:ascii="Calibri" w:eastAsia="Times New Roman" w:hAnsi="Calibri" w:cs="Calibri"/>
          <w:color w:val="1C3158"/>
          <w:sz w:val="26"/>
          <w:szCs w:val="26"/>
          <w:lang w:bidi="he-IL"/>
        </w:rPr>
        <w:t xml:space="preserve"> their contract.</w:t>
      </w:r>
      <w:r w:rsidR="00DB1C26">
        <w:rPr>
          <w:rFonts w:ascii="Calibri" w:eastAsia="Times New Roman" w:hAnsi="Calibri" w:cs="Calibri"/>
          <w:color w:val="1C3158"/>
          <w:sz w:val="26"/>
          <w:szCs w:val="26"/>
          <w:lang w:bidi="he-IL"/>
        </w:rPr>
        <w:t xml:space="preserve"> They will be presenting at the Spring GUAC meeting. </w:t>
      </w:r>
    </w:p>
    <w:p w14:paraId="79EADBD6" w14:textId="63C88B18" w:rsidR="00F32640" w:rsidRPr="00B54C99" w:rsidRDefault="00F32640" w:rsidP="00F32640">
      <w:pPr>
        <w:pStyle w:val="ListParagraph"/>
        <w:numPr>
          <w:ilvl w:val="1"/>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 xml:space="preserve">Contract 2020-3119 has submitted </w:t>
      </w:r>
      <w:r w:rsidR="001F321C">
        <w:rPr>
          <w:rFonts w:ascii="Calibri" w:eastAsia="Times New Roman" w:hAnsi="Calibri" w:cs="Calibri"/>
          <w:color w:val="1C3158"/>
          <w:sz w:val="26"/>
          <w:szCs w:val="26"/>
          <w:lang w:bidi="he-IL"/>
        </w:rPr>
        <w:t>1</w:t>
      </w:r>
      <w:r>
        <w:rPr>
          <w:rFonts w:ascii="Calibri" w:eastAsia="Times New Roman" w:hAnsi="Calibri" w:cs="Calibri"/>
          <w:color w:val="1C3158"/>
          <w:sz w:val="26"/>
          <w:szCs w:val="26"/>
          <w:lang w:bidi="he-IL"/>
        </w:rPr>
        <w:t>/</w:t>
      </w:r>
      <w:r w:rsidR="001F321C">
        <w:rPr>
          <w:rFonts w:ascii="Calibri" w:eastAsia="Times New Roman" w:hAnsi="Calibri" w:cs="Calibri"/>
          <w:color w:val="1C3158"/>
          <w:sz w:val="26"/>
          <w:szCs w:val="26"/>
          <w:lang w:bidi="he-IL"/>
        </w:rPr>
        <w:t>7</w:t>
      </w:r>
      <w:r>
        <w:rPr>
          <w:rFonts w:ascii="Calibri" w:eastAsia="Times New Roman" w:hAnsi="Calibri" w:cs="Calibri"/>
          <w:color w:val="1C3158"/>
          <w:sz w:val="26"/>
          <w:szCs w:val="26"/>
          <w:lang w:bidi="he-IL"/>
        </w:rPr>
        <w:t xml:space="preserve"> deliverables, the most recent being </w:t>
      </w:r>
      <w:r w:rsidR="001F321C">
        <w:rPr>
          <w:rFonts w:ascii="Calibri" w:eastAsia="Times New Roman" w:hAnsi="Calibri" w:cs="Calibri"/>
          <w:color w:val="1C3158"/>
          <w:sz w:val="26"/>
          <w:szCs w:val="26"/>
          <w:lang w:bidi="he-IL"/>
        </w:rPr>
        <w:t>the final design submittals.</w:t>
      </w:r>
    </w:p>
    <w:p w14:paraId="1BE691FE" w14:textId="0C16362E" w:rsidR="00F32640" w:rsidRPr="001F321C" w:rsidRDefault="00F32640" w:rsidP="00D31AB8">
      <w:pPr>
        <w:pStyle w:val="ListParagraph"/>
        <w:numPr>
          <w:ilvl w:val="1"/>
          <w:numId w:val="1"/>
        </w:numPr>
        <w:pBdr>
          <w:bottom w:val="single" w:sz="12" w:space="9" w:color="auto"/>
        </w:pBdr>
        <w:spacing w:after="0" w:line="240" w:lineRule="auto"/>
        <w:rPr>
          <w:rFonts w:ascii="Calibri" w:eastAsia="Times New Roman" w:hAnsi="Calibri" w:cs="Calibri"/>
          <w:color w:val="1C3158"/>
          <w:sz w:val="26"/>
          <w:szCs w:val="26"/>
          <w:lang w:bidi="he-IL"/>
        </w:rPr>
      </w:pPr>
      <w:r w:rsidRPr="001F321C">
        <w:rPr>
          <w:rFonts w:ascii="Calibri" w:eastAsia="Times New Roman" w:hAnsi="Calibri" w:cs="Calibri"/>
          <w:color w:val="1C3158"/>
          <w:sz w:val="26"/>
          <w:szCs w:val="26"/>
          <w:lang w:bidi="he-IL"/>
        </w:rPr>
        <w:t xml:space="preserve">Contract 2020-3120 has submitted </w:t>
      </w:r>
      <w:r w:rsidR="001F321C" w:rsidRPr="001F321C">
        <w:rPr>
          <w:rFonts w:ascii="Calibri" w:eastAsia="Times New Roman" w:hAnsi="Calibri" w:cs="Calibri"/>
          <w:color w:val="1C3158"/>
          <w:sz w:val="26"/>
          <w:szCs w:val="26"/>
          <w:lang w:bidi="he-IL"/>
        </w:rPr>
        <w:t>2/10</w:t>
      </w:r>
      <w:r w:rsidRPr="001F321C">
        <w:rPr>
          <w:rFonts w:ascii="Calibri" w:eastAsia="Times New Roman" w:hAnsi="Calibri" w:cs="Calibri"/>
          <w:color w:val="1C3158"/>
          <w:sz w:val="26"/>
          <w:szCs w:val="26"/>
          <w:lang w:bidi="he-IL"/>
        </w:rPr>
        <w:t xml:space="preserve"> deliverables, the most recent being </w:t>
      </w:r>
      <w:r w:rsidR="001F321C" w:rsidRPr="001F321C">
        <w:rPr>
          <w:rFonts w:ascii="Calibri" w:eastAsia="Times New Roman" w:hAnsi="Calibri" w:cs="Calibri"/>
          <w:color w:val="1C3158"/>
          <w:sz w:val="26"/>
          <w:szCs w:val="26"/>
          <w:lang w:bidi="he-IL"/>
        </w:rPr>
        <w:t>the installation report with images.</w:t>
      </w:r>
    </w:p>
    <w:p w14:paraId="138B867E" w14:textId="3CD9BCEB" w:rsidR="007012D0" w:rsidRDefault="007012D0"/>
    <w:p w14:paraId="490D2FBC" w14:textId="0570450E" w:rsidR="007012D0" w:rsidRPr="007012D0" w:rsidRDefault="007012D0">
      <w:pPr>
        <w:rPr>
          <w:b/>
          <w:bCs/>
          <w:sz w:val="24"/>
          <w:szCs w:val="24"/>
        </w:rPr>
      </w:pPr>
      <w:r w:rsidRPr="007012D0">
        <w:rPr>
          <w:b/>
          <w:bCs/>
          <w:sz w:val="24"/>
          <w:szCs w:val="24"/>
        </w:rPr>
        <w:t>Renewal Request</w:t>
      </w:r>
      <w:r>
        <w:rPr>
          <w:b/>
          <w:bCs/>
          <w:sz w:val="24"/>
          <w:szCs w:val="24"/>
        </w:rPr>
        <w:t xml:space="preserve"> Information</w:t>
      </w:r>
    </w:p>
    <w:p w14:paraId="083162AF" w14:textId="449CA906" w:rsidR="007012D0" w:rsidRPr="007012D0" w:rsidRDefault="007012D0">
      <w:pPr>
        <w:rPr>
          <w:sz w:val="24"/>
          <w:szCs w:val="24"/>
          <w:u w:val="single"/>
        </w:rPr>
      </w:pPr>
      <w:r w:rsidRPr="007012D0">
        <w:rPr>
          <w:sz w:val="24"/>
          <w:szCs w:val="24"/>
          <w:u w:val="single"/>
        </w:rPr>
        <w:t>Excerpt from Arizona Project WET contract 2020-3112 ISA: Scope of Services</w:t>
      </w:r>
    </w:p>
    <w:p w14:paraId="1DE698D3" w14:textId="77777777" w:rsidR="007012D0" w:rsidRPr="0090535B" w:rsidRDefault="007012D0" w:rsidP="007012D0">
      <w:pPr>
        <w:widowControl w:val="0"/>
        <w:numPr>
          <w:ilvl w:val="0"/>
          <w:numId w:val="2"/>
        </w:numPr>
        <w:tabs>
          <w:tab w:val="left" w:pos="825"/>
          <w:tab w:val="left" w:pos="1238"/>
          <w:tab w:val="right" w:pos="8668"/>
        </w:tabs>
        <w:spacing w:after="0" w:line="240" w:lineRule="auto"/>
        <w:jc w:val="both"/>
        <w:rPr>
          <w:rFonts w:ascii="Times New Roman" w:hAnsi="Times New Roman"/>
        </w:rPr>
      </w:pPr>
      <w:r w:rsidRPr="0090535B">
        <w:rPr>
          <w:rFonts w:ascii="Times New Roman" w:hAnsi="Times New Roman"/>
        </w:rPr>
        <w:t>INTRODUCTION:</w:t>
      </w:r>
    </w:p>
    <w:p w14:paraId="7F72C506" w14:textId="77777777" w:rsidR="007012D0" w:rsidRDefault="007012D0" w:rsidP="007012D0">
      <w:pPr>
        <w:tabs>
          <w:tab w:val="left" w:pos="1238"/>
          <w:tab w:val="right" w:pos="8668"/>
        </w:tabs>
        <w:ind w:left="360"/>
        <w:jc w:val="both"/>
        <w:rPr>
          <w:rFonts w:ascii="Times New Roman" w:hAnsi="Times New Roman"/>
        </w:rPr>
      </w:pPr>
    </w:p>
    <w:p w14:paraId="335CE5F6" w14:textId="1E42B051" w:rsidR="007012D0" w:rsidRDefault="007012D0" w:rsidP="007012D0">
      <w:pPr>
        <w:tabs>
          <w:tab w:val="left" w:pos="1238"/>
          <w:tab w:val="right" w:pos="8668"/>
        </w:tabs>
        <w:ind w:left="360"/>
        <w:jc w:val="both"/>
        <w:rPr>
          <w:rFonts w:ascii="Times New Roman" w:hAnsi="Times New Roman"/>
        </w:rPr>
      </w:pPr>
      <w:r>
        <w:rPr>
          <w:rFonts w:ascii="Times New Roman" w:hAnsi="Times New Roman"/>
        </w:rPr>
        <w:t xml:space="preserve">The purpose of this program is </w:t>
      </w:r>
      <w:r w:rsidRPr="00154DA2">
        <w:rPr>
          <w:rFonts w:ascii="Times New Roman" w:hAnsi="Times New Roman"/>
        </w:rPr>
        <w:t xml:space="preserve">to educate K-12 students about their interconnected water resources and their importance to Arizona’s future in support of Phoenix AMA’s statutory goal </w:t>
      </w:r>
      <w:r>
        <w:rPr>
          <w:rFonts w:ascii="Times New Roman" w:hAnsi="Times New Roman"/>
        </w:rPr>
        <w:t>of safe yield. Project goals are to work towards an understanding of:</w:t>
      </w:r>
    </w:p>
    <w:p w14:paraId="0DEECDD6"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 xml:space="preserve">Surface water in terms of a watershed’s components, its dynamics, and its role in the hydrologic cycle. </w:t>
      </w:r>
    </w:p>
    <w:p w14:paraId="1D5B3873"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The groundwater system in terms of its components, composition, and its role in the hydrologic cycle.</w:t>
      </w:r>
    </w:p>
    <w:p w14:paraId="4F9165F9"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The effect of snowpack on water flow in a watershed</w:t>
      </w:r>
    </w:p>
    <w:p w14:paraId="1801E544"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 xml:space="preserve">The movement of water through diverse substrates </w:t>
      </w:r>
    </w:p>
    <w:p w14:paraId="1BC51315"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 xml:space="preserve">Surface water and groundwater rights in the Arizona </w:t>
      </w:r>
    </w:p>
    <w:p w14:paraId="7279DB00"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 xml:space="preserve">Surface water management through containment and distribution </w:t>
      </w:r>
    </w:p>
    <w:p w14:paraId="47D38F0D"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Colorado River system allocations and uses.</w:t>
      </w:r>
    </w:p>
    <w:p w14:paraId="1A23CFE6"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The Central Arizona Project and the Shortage Sharing Agreements on the Colorado River</w:t>
      </w:r>
    </w:p>
    <w:p w14:paraId="6AEB6CCA"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Groundwater recharge and the Arizona water bank</w:t>
      </w:r>
    </w:p>
    <w:p w14:paraId="64B97119"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Water reuse and augmentation</w:t>
      </w:r>
    </w:p>
    <w:p w14:paraId="3934C5B1"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Water Conservation Technology</w:t>
      </w:r>
    </w:p>
    <w:p w14:paraId="3890E993" w14:textId="77777777" w:rsidR="007012D0" w:rsidRDefault="007012D0" w:rsidP="007012D0">
      <w:pPr>
        <w:widowControl w:val="0"/>
        <w:numPr>
          <w:ilvl w:val="0"/>
          <w:numId w:val="3"/>
        </w:numPr>
        <w:snapToGrid w:val="0"/>
        <w:spacing w:after="0" w:line="240" w:lineRule="auto"/>
        <w:rPr>
          <w:rFonts w:ascii="Times New Roman" w:hAnsi="Times New Roman"/>
        </w:rPr>
      </w:pPr>
      <w:r>
        <w:rPr>
          <w:rFonts w:ascii="Times New Roman" w:hAnsi="Times New Roman"/>
        </w:rPr>
        <w:t xml:space="preserve">The Engineering Design Process </w:t>
      </w:r>
    </w:p>
    <w:p w14:paraId="2A5D70D0" w14:textId="77777777" w:rsidR="007012D0" w:rsidRDefault="007012D0" w:rsidP="007012D0">
      <w:pPr>
        <w:ind w:left="360"/>
        <w:rPr>
          <w:rFonts w:ascii="Times New Roman" w:hAnsi="Times New Roman"/>
        </w:rPr>
      </w:pPr>
    </w:p>
    <w:p w14:paraId="5DBDAF2E" w14:textId="77777777" w:rsidR="007012D0" w:rsidRDefault="007012D0" w:rsidP="007012D0">
      <w:pPr>
        <w:ind w:left="360"/>
        <w:rPr>
          <w:rFonts w:ascii="Times New Roman" w:hAnsi="Times New Roman"/>
        </w:rPr>
      </w:pPr>
      <w:r>
        <w:rPr>
          <w:rFonts w:ascii="Times New Roman" w:hAnsi="Times New Roman"/>
        </w:rPr>
        <w:t>Funds granted by this contract will be used to develop and conduct curriculum components, STEM lessons, water saving projects and professional development for teachers. This funding will also expand existing programs to the entire Phoenix AMA region.</w:t>
      </w:r>
    </w:p>
    <w:p w14:paraId="50F66CD3" w14:textId="77777777" w:rsidR="007012D0" w:rsidRDefault="007012D0" w:rsidP="007012D0">
      <w:pPr>
        <w:tabs>
          <w:tab w:val="left" w:pos="412"/>
          <w:tab w:val="left" w:pos="825"/>
          <w:tab w:val="left" w:pos="1238"/>
          <w:tab w:val="right" w:pos="8668"/>
        </w:tabs>
        <w:jc w:val="both"/>
        <w:rPr>
          <w:rFonts w:ascii="Times New Roman" w:hAnsi="Times New Roman"/>
        </w:rPr>
      </w:pPr>
    </w:p>
    <w:p w14:paraId="18B9B0D3" w14:textId="77777777" w:rsidR="007012D0" w:rsidRDefault="007012D0" w:rsidP="007012D0">
      <w:pPr>
        <w:tabs>
          <w:tab w:val="left" w:pos="412"/>
          <w:tab w:val="left" w:pos="825"/>
          <w:tab w:val="left" w:pos="1238"/>
          <w:tab w:val="right" w:pos="8668"/>
        </w:tabs>
        <w:jc w:val="both"/>
        <w:rPr>
          <w:rFonts w:ascii="Times New Roman" w:hAnsi="Times New Roman"/>
        </w:rPr>
      </w:pPr>
      <w:r w:rsidRPr="004D0A5A">
        <w:rPr>
          <w:rFonts w:ascii="Times New Roman" w:hAnsi="Times New Roman"/>
        </w:rPr>
        <w:t>G.</w:t>
      </w:r>
      <w:r w:rsidRPr="004D0A5A">
        <w:rPr>
          <w:rFonts w:ascii="Times New Roman" w:hAnsi="Times New Roman"/>
        </w:rPr>
        <w:tab/>
        <w:t>SCOPE OF WORK:</w:t>
      </w:r>
    </w:p>
    <w:p w14:paraId="5E6C0529" w14:textId="77777777" w:rsidR="007012D0" w:rsidRDefault="007012D0" w:rsidP="007012D0">
      <w:pPr>
        <w:ind w:left="360"/>
        <w:rPr>
          <w:rFonts w:ascii="Times New Roman" w:hAnsi="Times New Roman"/>
        </w:rPr>
      </w:pPr>
      <w:r w:rsidRPr="00B24876">
        <w:rPr>
          <w:rFonts w:ascii="Times New Roman" w:hAnsi="Times New Roman"/>
        </w:rPr>
        <w:lastRenderedPageBreak/>
        <w:t xml:space="preserve">Arizona </w:t>
      </w:r>
      <w:r>
        <w:rPr>
          <w:rFonts w:ascii="Times New Roman" w:hAnsi="Times New Roman"/>
        </w:rPr>
        <w:t>Project WET has</w:t>
      </w:r>
      <w:r w:rsidRPr="00B24876">
        <w:rPr>
          <w:rFonts w:ascii="Times New Roman" w:hAnsi="Times New Roman"/>
        </w:rPr>
        <w:t xml:space="preserve"> shift</w:t>
      </w:r>
      <w:r>
        <w:rPr>
          <w:rFonts w:ascii="Times New Roman" w:hAnsi="Times New Roman"/>
        </w:rPr>
        <w:t>ed</w:t>
      </w:r>
      <w:r w:rsidRPr="00B24876">
        <w:rPr>
          <w:rFonts w:ascii="Times New Roman" w:hAnsi="Times New Roman"/>
        </w:rPr>
        <w:t xml:space="preserve"> to a virtual delivery for 2020-21 learning program</w:t>
      </w:r>
      <w:r>
        <w:rPr>
          <w:rFonts w:ascii="Times New Roman" w:hAnsi="Times New Roman"/>
        </w:rPr>
        <w:t>s</w:t>
      </w:r>
      <w:r w:rsidRPr="00B24876">
        <w:rPr>
          <w:rFonts w:ascii="Times New Roman" w:hAnsi="Times New Roman"/>
        </w:rPr>
        <w:t xml:space="preserve"> </w:t>
      </w:r>
      <w:r>
        <w:rPr>
          <w:rFonts w:ascii="Times New Roman" w:hAnsi="Times New Roman"/>
        </w:rPr>
        <w:t>to keep classrooms as safe as they can be and deliver to students learning online during the pandemic. This summer,</w:t>
      </w:r>
      <w:r w:rsidRPr="00B24876">
        <w:rPr>
          <w:rFonts w:ascii="Times New Roman" w:hAnsi="Times New Roman"/>
        </w:rPr>
        <w:t xml:space="preserve"> we moved the teacher professional development online </w:t>
      </w:r>
      <w:r>
        <w:rPr>
          <w:rFonts w:ascii="Times New Roman" w:hAnsi="Times New Roman"/>
        </w:rPr>
        <w:t>using</w:t>
      </w:r>
      <w:r w:rsidRPr="00B24876">
        <w:rPr>
          <w:rFonts w:ascii="Times New Roman" w:hAnsi="Times New Roman"/>
        </w:rPr>
        <w:t xml:space="preserve"> Zoom for live sessions </w:t>
      </w:r>
      <w:r>
        <w:rPr>
          <w:rFonts w:ascii="Times New Roman" w:hAnsi="Times New Roman"/>
        </w:rPr>
        <w:t xml:space="preserve">and </w:t>
      </w:r>
      <w:r w:rsidRPr="00B24876">
        <w:rPr>
          <w:rFonts w:ascii="Times New Roman" w:hAnsi="Times New Roman"/>
        </w:rPr>
        <w:t>utiliz</w:t>
      </w:r>
      <w:r>
        <w:rPr>
          <w:rFonts w:ascii="Times New Roman" w:hAnsi="Times New Roman"/>
        </w:rPr>
        <w:t>ing</w:t>
      </w:r>
      <w:r w:rsidRPr="00B24876">
        <w:rPr>
          <w:rFonts w:ascii="Times New Roman" w:hAnsi="Times New Roman"/>
        </w:rPr>
        <w:t xml:space="preserve"> Canvas as our learning management system. </w:t>
      </w:r>
      <w:r>
        <w:rPr>
          <w:rFonts w:ascii="Times New Roman" w:hAnsi="Times New Roman"/>
        </w:rPr>
        <w:t>Direct student learning has been and continues to be mod</w:t>
      </w:r>
      <w:r w:rsidRPr="00B24876">
        <w:rPr>
          <w:rFonts w:ascii="Times New Roman" w:hAnsi="Times New Roman"/>
        </w:rPr>
        <w:t xml:space="preserve">ified to facilitate learning </w:t>
      </w:r>
      <w:r>
        <w:rPr>
          <w:rFonts w:ascii="Times New Roman" w:hAnsi="Times New Roman"/>
        </w:rPr>
        <w:t xml:space="preserve">in an online, interactive format </w:t>
      </w:r>
      <w:r w:rsidRPr="00B24876">
        <w:rPr>
          <w:rFonts w:ascii="Times New Roman" w:hAnsi="Times New Roman"/>
        </w:rPr>
        <w:t xml:space="preserve">whether students are in the classroom or learning from home. </w:t>
      </w:r>
    </w:p>
    <w:p w14:paraId="710ED81F" w14:textId="77777777" w:rsidR="007012D0" w:rsidRDefault="007012D0" w:rsidP="007012D0">
      <w:pPr>
        <w:ind w:left="360"/>
        <w:rPr>
          <w:rFonts w:ascii="Times New Roman" w:hAnsi="Times New Roman"/>
        </w:rPr>
      </w:pPr>
      <w:r>
        <w:rPr>
          <w:rFonts w:ascii="Times New Roman" w:hAnsi="Times New Roman"/>
        </w:rPr>
        <w:t xml:space="preserve">The Water Scene Investigations Programs, including the home and school water audits, the athletic field </w:t>
      </w:r>
      <w:proofErr w:type="gramStart"/>
      <w:r>
        <w:rPr>
          <w:rFonts w:ascii="Times New Roman" w:hAnsi="Times New Roman"/>
        </w:rPr>
        <w:t>audit</w:t>
      </w:r>
      <w:proofErr w:type="gramEnd"/>
      <w:r>
        <w:rPr>
          <w:rFonts w:ascii="Times New Roman" w:hAnsi="Times New Roman"/>
        </w:rPr>
        <w:t xml:space="preserve"> and the leak detection investigation, are ready to go and are available at </w:t>
      </w:r>
      <w:hyperlink r:id="rId8" w:history="1">
        <w:r w:rsidRPr="00310325">
          <w:rPr>
            <w:rStyle w:val="Hyperlink"/>
            <w:rFonts w:ascii="Times New Roman" w:hAnsi="Times New Roman"/>
          </w:rPr>
          <w:t>https://wsi.projectwet.arizona.edu/</w:t>
        </w:r>
      </w:hyperlink>
      <w:r>
        <w:rPr>
          <w:rFonts w:ascii="Times New Roman" w:hAnsi="Times New Roman"/>
        </w:rPr>
        <w:t xml:space="preserve">.  Students can report their water savings achieved by installing water efficient aerators at home bathroom faucets online at </w:t>
      </w:r>
      <w:hyperlink r:id="rId9" w:history="1">
        <w:r w:rsidRPr="00310325">
          <w:rPr>
            <w:rStyle w:val="Hyperlink"/>
            <w:rFonts w:ascii="Times New Roman" w:hAnsi="Times New Roman"/>
          </w:rPr>
          <w:t>https://wsi.projectwet.arizona.edu/report</w:t>
        </w:r>
      </w:hyperlink>
      <w:r>
        <w:rPr>
          <w:rFonts w:ascii="Times New Roman" w:hAnsi="Times New Roman"/>
        </w:rPr>
        <w:t>.</w:t>
      </w:r>
    </w:p>
    <w:p w14:paraId="6186227C" w14:textId="77777777" w:rsidR="007012D0" w:rsidRPr="00B24876" w:rsidRDefault="007012D0" w:rsidP="007012D0">
      <w:pPr>
        <w:ind w:left="360"/>
        <w:rPr>
          <w:rFonts w:ascii="Times New Roman" w:hAnsi="Times New Roman"/>
        </w:rPr>
      </w:pPr>
    </w:p>
    <w:p w14:paraId="71E5C762" w14:textId="77777777" w:rsidR="007012D0" w:rsidRPr="0053610D" w:rsidRDefault="007012D0" w:rsidP="007012D0">
      <w:pPr>
        <w:ind w:left="360"/>
        <w:rPr>
          <w:rFonts w:ascii="Times New Roman" w:hAnsi="Times New Roman"/>
          <w:b/>
        </w:rPr>
      </w:pPr>
      <w:r w:rsidRPr="0053610D">
        <w:rPr>
          <w:rFonts w:ascii="Times New Roman" w:hAnsi="Times New Roman"/>
          <w:b/>
          <w:u w:val="single"/>
        </w:rPr>
        <w:t>Teacher Professional Development</w:t>
      </w:r>
    </w:p>
    <w:p w14:paraId="1B6B9872" w14:textId="77777777" w:rsidR="007012D0" w:rsidRPr="00EB1095" w:rsidRDefault="007012D0" w:rsidP="007012D0">
      <w:pPr>
        <w:ind w:left="360"/>
        <w:rPr>
          <w:rFonts w:ascii="Times New Roman" w:hAnsi="Times New Roman"/>
          <w:b/>
        </w:rPr>
      </w:pPr>
      <w:r>
        <w:rPr>
          <w:rFonts w:ascii="Times New Roman" w:hAnsi="Times New Roman"/>
          <w:b/>
        </w:rPr>
        <w:t>Task 1:</w:t>
      </w:r>
      <w:r w:rsidRPr="0053610D">
        <w:rPr>
          <w:rFonts w:ascii="Times New Roman" w:hAnsi="Times New Roman"/>
          <w:b/>
        </w:rPr>
        <w:t xml:space="preserve"> Teacher Multi-Day Academy</w:t>
      </w:r>
    </w:p>
    <w:p w14:paraId="09C3FBB9" w14:textId="77777777" w:rsidR="007012D0" w:rsidRPr="0053610D" w:rsidRDefault="007012D0" w:rsidP="007012D0">
      <w:pPr>
        <w:ind w:left="360"/>
        <w:rPr>
          <w:rFonts w:ascii="Times New Roman" w:hAnsi="Times New Roman"/>
        </w:rPr>
      </w:pPr>
      <w:r w:rsidRPr="0053610D">
        <w:rPr>
          <w:rFonts w:ascii="Times New Roman" w:hAnsi="Times New Roman"/>
        </w:rPr>
        <w:t>APW shall conduct a multi-day a</w:t>
      </w:r>
      <w:r>
        <w:rPr>
          <w:rFonts w:ascii="Times New Roman" w:hAnsi="Times New Roman"/>
        </w:rPr>
        <w:t>cademy, potentially reaching 30</w:t>
      </w:r>
      <w:r w:rsidRPr="0053610D">
        <w:rPr>
          <w:rFonts w:ascii="Times New Roman" w:hAnsi="Times New Roman"/>
        </w:rPr>
        <w:t xml:space="preserve"> teachers from the Phoenix AMA. Teachers will improve their skills in engaging students in real-world and relevant science, technology, </w:t>
      </w:r>
      <w:proofErr w:type="gramStart"/>
      <w:r w:rsidRPr="0053610D">
        <w:rPr>
          <w:rFonts w:ascii="Times New Roman" w:hAnsi="Times New Roman"/>
        </w:rPr>
        <w:t>engineering</w:t>
      </w:r>
      <w:proofErr w:type="gramEnd"/>
      <w:r w:rsidRPr="0053610D">
        <w:rPr>
          <w:rFonts w:ascii="Times New Roman" w:hAnsi="Times New Roman"/>
        </w:rPr>
        <w:t xml:space="preserve"> and math learning that focuses on systems thinking and problem solving. They will leave these workshops with practical applications of these concepts to utilize in their classrooms and as participants, will receive implementation support in the classroom from APW.</w:t>
      </w:r>
    </w:p>
    <w:p w14:paraId="3E9CA56D" w14:textId="77777777" w:rsidR="007012D0" w:rsidRPr="0053610D" w:rsidRDefault="007012D0" w:rsidP="007012D0">
      <w:pPr>
        <w:ind w:left="360"/>
        <w:rPr>
          <w:rFonts w:ascii="Times New Roman" w:hAnsi="Times New Roman"/>
          <w:b/>
        </w:rPr>
      </w:pPr>
    </w:p>
    <w:p w14:paraId="1A830970" w14:textId="77777777" w:rsidR="007012D0" w:rsidRPr="0053610D" w:rsidRDefault="007012D0" w:rsidP="007012D0">
      <w:pPr>
        <w:ind w:left="360"/>
        <w:rPr>
          <w:rFonts w:ascii="Times New Roman" w:hAnsi="Times New Roman"/>
        </w:rPr>
      </w:pPr>
      <w:r w:rsidRPr="0053610D">
        <w:rPr>
          <w:rFonts w:ascii="Times New Roman" w:hAnsi="Times New Roman"/>
          <w:b/>
        </w:rPr>
        <w:t>Deliverable:</w:t>
      </w:r>
      <w:r w:rsidRPr="0053610D">
        <w:rPr>
          <w:rFonts w:ascii="Times New Roman" w:hAnsi="Times New Roman"/>
        </w:rPr>
        <w:t xml:space="preserve"> The Annual report shall include a description of the progress of the academies, including location, syllabus, marketing efforts, attendance, </w:t>
      </w:r>
      <w:proofErr w:type="gramStart"/>
      <w:r w:rsidRPr="0053610D">
        <w:rPr>
          <w:rFonts w:ascii="Times New Roman" w:hAnsi="Times New Roman"/>
        </w:rPr>
        <w:t>results</w:t>
      </w:r>
      <w:proofErr w:type="gramEnd"/>
      <w:r w:rsidRPr="0053610D">
        <w:rPr>
          <w:rFonts w:ascii="Times New Roman" w:hAnsi="Times New Roman"/>
        </w:rPr>
        <w:t xml:space="preserve"> and evaluation. </w:t>
      </w:r>
    </w:p>
    <w:p w14:paraId="300DC210" w14:textId="77777777" w:rsidR="007012D0" w:rsidRPr="0053610D" w:rsidRDefault="007012D0" w:rsidP="007012D0">
      <w:pPr>
        <w:ind w:left="360"/>
        <w:rPr>
          <w:rFonts w:ascii="Times New Roman" w:hAnsi="Times New Roman"/>
        </w:rPr>
      </w:pPr>
    </w:p>
    <w:p w14:paraId="1ADAB861" w14:textId="77777777" w:rsidR="007012D0" w:rsidRPr="00EB1095" w:rsidRDefault="007012D0" w:rsidP="007012D0">
      <w:pPr>
        <w:ind w:left="360"/>
        <w:rPr>
          <w:rFonts w:ascii="Times New Roman" w:hAnsi="Times New Roman"/>
          <w:b/>
        </w:rPr>
      </w:pPr>
      <w:r>
        <w:rPr>
          <w:rFonts w:ascii="Times New Roman" w:hAnsi="Times New Roman"/>
          <w:b/>
        </w:rPr>
        <w:t>Task 2: Teacher 2-</w:t>
      </w:r>
      <w:r w:rsidRPr="0053610D">
        <w:rPr>
          <w:rFonts w:ascii="Times New Roman" w:hAnsi="Times New Roman"/>
          <w:b/>
        </w:rPr>
        <w:t>Day Academy</w:t>
      </w:r>
    </w:p>
    <w:p w14:paraId="53E02F8A" w14:textId="77777777" w:rsidR="007012D0" w:rsidRPr="0053610D" w:rsidRDefault="007012D0" w:rsidP="007012D0">
      <w:pPr>
        <w:ind w:left="360"/>
        <w:rPr>
          <w:rFonts w:ascii="Times New Roman" w:hAnsi="Times New Roman"/>
        </w:rPr>
      </w:pPr>
      <w:r>
        <w:rPr>
          <w:rFonts w:ascii="Times New Roman" w:hAnsi="Times New Roman"/>
        </w:rPr>
        <w:t>APW shall conduct one two</w:t>
      </w:r>
      <w:r w:rsidRPr="0053610D">
        <w:rPr>
          <w:rFonts w:ascii="Times New Roman" w:hAnsi="Times New Roman"/>
        </w:rPr>
        <w:t>-day academy targeted to engage</w:t>
      </w:r>
      <w:r>
        <w:rPr>
          <w:rFonts w:ascii="Times New Roman" w:hAnsi="Times New Roman"/>
        </w:rPr>
        <w:t xml:space="preserve"> 25 </w:t>
      </w:r>
      <w:r w:rsidRPr="0053610D">
        <w:rPr>
          <w:rFonts w:ascii="Times New Roman" w:hAnsi="Times New Roman"/>
        </w:rPr>
        <w:t>teachers in learning new STEM-oriented instructional practices and systems thinking. Teachers will leave this workshop with practical STEM applications to utilize in their classrooms and, as participants, will receive implementation support in the classroom from APW.</w:t>
      </w:r>
    </w:p>
    <w:p w14:paraId="5A8C93DA" w14:textId="77777777" w:rsidR="007012D0" w:rsidRPr="0053610D" w:rsidRDefault="007012D0" w:rsidP="007012D0">
      <w:pPr>
        <w:ind w:left="360"/>
        <w:rPr>
          <w:rFonts w:ascii="Times New Roman" w:hAnsi="Times New Roman"/>
          <w:b/>
        </w:rPr>
      </w:pPr>
    </w:p>
    <w:p w14:paraId="5E11006A" w14:textId="77777777" w:rsidR="007012D0" w:rsidRPr="0053610D" w:rsidRDefault="007012D0" w:rsidP="007012D0">
      <w:pPr>
        <w:ind w:left="360"/>
        <w:rPr>
          <w:rFonts w:ascii="Times New Roman" w:hAnsi="Times New Roman"/>
        </w:rPr>
      </w:pPr>
      <w:r w:rsidRPr="0053610D">
        <w:rPr>
          <w:rFonts w:ascii="Times New Roman" w:hAnsi="Times New Roman"/>
          <w:b/>
        </w:rPr>
        <w:t>Deliverable:</w:t>
      </w:r>
      <w:r w:rsidRPr="0053610D">
        <w:rPr>
          <w:rFonts w:ascii="Times New Roman" w:hAnsi="Times New Roman"/>
        </w:rPr>
        <w:t xml:space="preserve"> The Annual report shall include a description of the progress of the academy, including location, syllabus, marketing efforts, attendance, </w:t>
      </w:r>
      <w:proofErr w:type="gramStart"/>
      <w:r w:rsidRPr="0053610D">
        <w:rPr>
          <w:rFonts w:ascii="Times New Roman" w:hAnsi="Times New Roman"/>
        </w:rPr>
        <w:t>results</w:t>
      </w:r>
      <w:proofErr w:type="gramEnd"/>
      <w:r w:rsidRPr="0053610D">
        <w:rPr>
          <w:rFonts w:ascii="Times New Roman" w:hAnsi="Times New Roman"/>
        </w:rPr>
        <w:t xml:space="preserve"> and evaluation. </w:t>
      </w:r>
    </w:p>
    <w:p w14:paraId="4D49C3C4" w14:textId="77777777" w:rsidR="007012D0" w:rsidRPr="0053610D" w:rsidRDefault="007012D0" w:rsidP="007012D0">
      <w:pPr>
        <w:rPr>
          <w:rFonts w:ascii="Times New Roman" w:hAnsi="Times New Roman"/>
        </w:rPr>
      </w:pPr>
    </w:p>
    <w:p w14:paraId="21E80734" w14:textId="77777777" w:rsidR="007012D0" w:rsidRPr="0053610D" w:rsidRDefault="007012D0" w:rsidP="007012D0">
      <w:pPr>
        <w:ind w:left="360"/>
        <w:rPr>
          <w:rFonts w:ascii="Times New Roman" w:hAnsi="Times New Roman"/>
          <w:b/>
        </w:rPr>
      </w:pPr>
      <w:r>
        <w:rPr>
          <w:rFonts w:ascii="Times New Roman" w:hAnsi="Times New Roman"/>
          <w:b/>
        </w:rPr>
        <w:t>Task 3: 2.0</w:t>
      </w:r>
      <w:r w:rsidRPr="0053610D">
        <w:rPr>
          <w:rFonts w:ascii="Times New Roman" w:hAnsi="Times New Roman"/>
          <w:b/>
        </w:rPr>
        <w:t xml:space="preserve"> Teacher One-day Workshops</w:t>
      </w:r>
    </w:p>
    <w:p w14:paraId="5D6916ED" w14:textId="77777777" w:rsidR="007012D0" w:rsidRPr="0053610D" w:rsidRDefault="007012D0" w:rsidP="007012D0">
      <w:pPr>
        <w:ind w:left="360"/>
        <w:rPr>
          <w:rFonts w:ascii="Times New Roman" w:hAnsi="Times New Roman"/>
        </w:rPr>
      </w:pPr>
      <w:r>
        <w:rPr>
          <w:rFonts w:ascii="Times New Roman" w:hAnsi="Times New Roman"/>
        </w:rPr>
        <w:t>APW shall conduct two one</w:t>
      </w:r>
      <w:r w:rsidRPr="0053610D">
        <w:rPr>
          <w:rFonts w:ascii="Times New Roman" w:hAnsi="Times New Roman"/>
        </w:rPr>
        <w:t xml:space="preserve">-day workshops focused on the </w:t>
      </w:r>
      <w:r w:rsidRPr="0053610D">
        <w:rPr>
          <w:rFonts w:ascii="Times New Roman" w:hAnsi="Times New Roman"/>
          <w:i/>
        </w:rPr>
        <w:t>Project WET Curriculum and Activity Guide</w:t>
      </w:r>
      <w:r w:rsidRPr="0053610D">
        <w:rPr>
          <w:rFonts w:ascii="Times New Roman" w:hAnsi="Times New Roman"/>
        </w:rPr>
        <w:t xml:space="preserve"> </w:t>
      </w:r>
      <w:r w:rsidRPr="0053610D">
        <w:rPr>
          <w:rFonts w:ascii="Times New Roman" w:hAnsi="Times New Roman"/>
          <w:i/>
        </w:rPr>
        <w:t>version 2.0</w:t>
      </w:r>
      <w:r w:rsidRPr="0053610D">
        <w:rPr>
          <w:rFonts w:ascii="Times New Roman" w:hAnsi="Times New Roman"/>
        </w:rPr>
        <w:t xml:space="preserve">, modeling interdisciplinary inquiry-based lessons, potentially reaching 50 teachers. </w:t>
      </w:r>
    </w:p>
    <w:p w14:paraId="23A1756A" w14:textId="77777777" w:rsidR="007012D0" w:rsidRPr="0053610D" w:rsidRDefault="007012D0" w:rsidP="007012D0">
      <w:pPr>
        <w:ind w:left="360"/>
        <w:rPr>
          <w:rFonts w:ascii="Times New Roman" w:hAnsi="Times New Roman"/>
          <w:b/>
        </w:rPr>
      </w:pPr>
    </w:p>
    <w:p w14:paraId="04222BE4" w14:textId="77777777" w:rsidR="007012D0" w:rsidRPr="0053610D" w:rsidRDefault="007012D0" w:rsidP="007012D0">
      <w:pPr>
        <w:ind w:left="360"/>
        <w:rPr>
          <w:rFonts w:ascii="Times New Roman" w:hAnsi="Times New Roman"/>
        </w:rPr>
      </w:pPr>
      <w:r w:rsidRPr="0053610D">
        <w:rPr>
          <w:rFonts w:ascii="Times New Roman" w:hAnsi="Times New Roman"/>
          <w:b/>
        </w:rPr>
        <w:t>Deliverable:</w:t>
      </w:r>
      <w:r w:rsidRPr="0053610D">
        <w:rPr>
          <w:rFonts w:ascii="Times New Roman" w:hAnsi="Times New Roman"/>
        </w:rPr>
        <w:t xml:space="preserve"> The Annual report shall include a description of the workshops, including location, syllabus, marketing efforts, attendance, </w:t>
      </w:r>
      <w:proofErr w:type="gramStart"/>
      <w:r w:rsidRPr="0053610D">
        <w:rPr>
          <w:rFonts w:ascii="Times New Roman" w:hAnsi="Times New Roman"/>
        </w:rPr>
        <w:t>results</w:t>
      </w:r>
      <w:proofErr w:type="gramEnd"/>
      <w:r w:rsidRPr="0053610D">
        <w:rPr>
          <w:rFonts w:ascii="Times New Roman" w:hAnsi="Times New Roman"/>
        </w:rPr>
        <w:t xml:space="preserve"> and evaluation.</w:t>
      </w:r>
    </w:p>
    <w:p w14:paraId="2DFA8F23" w14:textId="77777777" w:rsidR="007012D0" w:rsidRPr="0053610D" w:rsidRDefault="007012D0" w:rsidP="007012D0">
      <w:pPr>
        <w:ind w:left="360"/>
        <w:rPr>
          <w:rFonts w:ascii="Times New Roman" w:hAnsi="Times New Roman"/>
        </w:rPr>
      </w:pPr>
    </w:p>
    <w:p w14:paraId="00520C3C" w14:textId="77777777" w:rsidR="007012D0" w:rsidRPr="0053610D" w:rsidRDefault="007012D0" w:rsidP="007012D0">
      <w:pPr>
        <w:ind w:left="360"/>
        <w:rPr>
          <w:rFonts w:ascii="Times New Roman" w:hAnsi="Times New Roman"/>
          <w:b/>
          <w:u w:val="single"/>
        </w:rPr>
      </w:pPr>
      <w:r w:rsidRPr="0053610D">
        <w:rPr>
          <w:rFonts w:ascii="Times New Roman" w:hAnsi="Times New Roman"/>
          <w:b/>
          <w:u w:val="single"/>
        </w:rPr>
        <w:t>Direct Student Outreach</w:t>
      </w:r>
    </w:p>
    <w:p w14:paraId="6E332E62" w14:textId="77777777" w:rsidR="007012D0" w:rsidRPr="0053610D" w:rsidRDefault="007012D0" w:rsidP="007012D0">
      <w:pPr>
        <w:ind w:left="360"/>
        <w:rPr>
          <w:rFonts w:ascii="Times New Roman" w:hAnsi="Times New Roman"/>
          <w:b/>
        </w:rPr>
      </w:pPr>
      <w:r w:rsidRPr="0053610D">
        <w:rPr>
          <w:rFonts w:ascii="Times New Roman" w:hAnsi="Times New Roman"/>
          <w:b/>
        </w:rPr>
        <w:t>Task 4: Water Scene Investigation</w:t>
      </w:r>
      <w:r>
        <w:rPr>
          <w:rFonts w:ascii="Times New Roman" w:hAnsi="Times New Roman"/>
          <w:b/>
        </w:rPr>
        <w:t>s</w:t>
      </w:r>
      <w:r w:rsidRPr="0053610D">
        <w:rPr>
          <w:rFonts w:ascii="Times New Roman" w:hAnsi="Times New Roman"/>
          <w:b/>
        </w:rPr>
        <w:t xml:space="preserve"> Programs</w:t>
      </w:r>
    </w:p>
    <w:p w14:paraId="3C874596" w14:textId="77777777" w:rsidR="007012D0" w:rsidRPr="0053610D" w:rsidRDefault="007012D0" w:rsidP="007012D0">
      <w:pPr>
        <w:ind w:left="360"/>
        <w:rPr>
          <w:rFonts w:ascii="Times New Roman" w:hAnsi="Times New Roman"/>
        </w:rPr>
      </w:pPr>
      <w:r w:rsidRPr="0053610D">
        <w:rPr>
          <w:rFonts w:ascii="Times New Roman" w:hAnsi="Times New Roman"/>
        </w:rPr>
        <w:lastRenderedPageBreak/>
        <w:t>These STEM units engage students in collecting data through a scientific process and calculating water savings based on the installation of water efficient technology. Arizona Project WET Program Coordinators will support teachers who attend our professional development sessions in facilitating these STEM units in their classrooms. APW facili</w:t>
      </w:r>
      <w:r>
        <w:rPr>
          <w:rFonts w:ascii="Times New Roman" w:hAnsi="Times New Roman"/>
        </w:rPr>
        <w:t>tators will work with at least ten</w:t>
      </w:r>
      <w:r w:rsidRPr="0053610D">
        <w:rPr>
          <w:rFonts w:ascii="Times New Roman" w:hAnsi="Times New Roman"/>
        </w:rPr>
        <w:t xml:space="preserve"> teachers to implement these real-world and relevant STEM units with their students.</w:t>
      </w:r>
    </w:p>
    <w:p w14:paraId="2C855932" w14:textId="77777777" w:rsidR="007012D0" w:rsidRPr="0053610D" w:rsidRDefault="007012D0" w:rsidP="007012D0">
      <w:pPr>
        <w:ind w:left="360"/>
        <w:rPr>
          <w:rFonts w:ascii="Times New Roman" w:hAnsi="Times New Roman"/>
        </w:rPr>
      </w:pPr>
    </w:p>
    <w:p w14:paraId="12BB9481" w14:textId="77777777" w:rsidR="007012D0" w:rsidRPr="0053610D" w:rsidRDefault="007012D0" w:rsidP="007012D0">
      <w:pPr>
        <w:ind w:left="360"/>
        <w:rPr>
          <w:rFonts w:ascii="Times New Roman" w:hAnsi="Times New Roman"/>
        </w:rPr>
      </w:pPr>
      <w:r w:rsidRPr="0053610D">
        <w:rPr>
          <w:rFonts w:ascii="Times New Roman" w:hAnsi="Times New Roman"/>
          <w:b/>
        </w:rPr>
        <w:t>Deliverable:</w:t>
      </w:r>
      <w:r w:rsidRPr="0053610D">
        <w:rPr>
          <w:rFonts w:ascii="Times New Roman" w:hAnsi="Times New Roman"/>
        </w:rPr>
        <w:t xml:space="preserve"> The semi-annual report will include per class-calculated projected water savings, number of students, student and parent comments, and evaluation data from each teacher. </w:t>
      </w:r>
    </w:p>
    <w:p w14:paraId="413CDB53" w14:textId="77777777" w:rsidR="007012D0" w:rsidRPr="0053610D" w:rsidRDefault="007012D0" w:rsidP="007012D0">
      <w:pPr>
        <w:ind w:left="360"/>
        <w:rPr>
          <w:rFonts w:ascii="Times New Roman" w:hAnsi="Times New Roman"/>
        </w:rPr>
      </w:pPr>
    </w:p>
    <w:p w14:paraId="56B6DD69" w14:textId="77777777" w:rsidR="007012D0" w:rsidRPr="0053610D" w:rsidRDefault="007012D0" w:rsidP="007012D0">
      <w:pPr>
        <w:ind w:left="360"/>
        <w:rPr>
          <w:rFonts w:ascii="Times New Roman" w:hAnsi="Times New Roman"/>
          <w:b/>
        </w:rPr>
      </w:pPr>
      <w:r>
        <w:rPr>
          <w:rFonts w:ascii="Times New Roman" w:hAnsi="Times New Roman"/>
          <w:b/>
        </w:rPr>
        <w:t xml:space="preserve">Task 5: </w:t>
      </w:r>
      <w:r w:rsidRPr="0053610D">
        <w:rPr>
          <w:rFonts w:ascii="Times New Roman" w:hAnsi="Times New Roman"/>
          <w:b/>
        </w:rPr>
        <w:t>Engineering Design Process</w:t>
      </w:r>
    </w:p>
    <w:p w14:paraId="4058F251" w14:textId="77777777" w:rsidR="007012D0" w:rsidRPr="0053610D" w:rsidRDefault="007012D0" w:rsidP="007012D0">
      <w:pPr>
        <w:ind w:left="360"/>
        <w:rPr>
          <w:rFonts w:ascii="Times New Roman" w:hAnsi="Times New Roman"/>
        </w:rPr>
      </w:pPr>
      <w:r w:rsidRPr="0053610D">
        <w:rPr>
          <w:rFonts w:ascii="Times New Roman" w:hAnsi="Times New Roman"/>
        </w:rPr>
        <w:t xml:space="preserve">The E in STEM is the most difficult subject to incorporate for most teachers. APW will support teachers who attend our professional development sessions in facilitating </w:t>
      </w:r>
      <w:r>
        <w:rPr>
          <w:rFonts w:ascii="Times New Roman" w:hAnsi="Times New Roman"/>
        </w:rPr>
        <w:t>the design of a model of the Central Arizona Project, which brings water uphill 2900 feet across 336 miles to Tucson</w:t>
      </w:r>
      <w:r w:rsidRPr="0053610D">
        <w:rPr>
          <w:rFonts w:ascii="Times New Roman" w:hAnsi="Times New Roman"/>
        </w:rPr>
        <w:t>. APW facili</w:t>
      </w:r>
      <w:r>
        <w:rPr>
          <w:rFonts w:ascii="Times New Roman" w:hAnsi="Times New Roman"/>
        </w:rPr>
        <w:t>tators will work with at least five</w:t>
      </w:r>
      <w:r w:rsidRPr="0053610D">
        <w:rPr>
          <w:rFonts w:ascii="Times New Roman" w:hAnsi="Times New Roman"/>
        </w:rPr>
        <w:t xml:space="preserve"> teachers to implement these real-world and relevant STEM units with their students.</w:t>
      </w:r>
    </w:p>
    <w:p w14:paraId="2F54D9DB" w14:textId="77777777" w:rsidR="007012D0" w:rsidRPr="0053610D" w:rsidRDefault="007012D0" w:rsidP="007012D0">
      <w:pPr>
        <w:ind w:left="360"/>
        <w:rPr>
          <w:rFonts w:ascii="Times New Roman" w:hAnsi="Times New Roman"/>
        </w:rPr>
      </w:pPr>
    </w:p>
    <w:p w14:paraId="65366486" w14:textId="77777777" w:rsidR="007012D0" w:rsidRPr="0053610D" w:rsidRDefault="007012D0" w:rsidP="007012D0">
      <w:pPr>
        <w:ind w:left="360"/>
        <w:rPr>
          <w:rFonts w:ascii="Times New Roman" w:hAnsi="Times New Roman"/>
        </w:rPr>
      </w:pPr>
      <w:r w:rsidRPr="0053610D">
        <w:rPr>
          <w:rFonts w:ascii="Times New Roman" w:hAnsi="Times New Roman"/>
          <w:b/>
        </w:rPr>
        <w:t>Deliverable:</w:t>
      </w:r>
      <w:r w:rsidRPr="0053610D">
        <w:rPr>
          <w:rFonts w:ascii="Times New Roman" w:hAnsi="Times New Roman"/>
        </w:rPr>
        <w:t xml:space="preserve">  The semi-annual report will include number of students, student and parent comments, and evaluation data from each teacher. </w:t>
      </w:r>
    </w:p>
    <w:p w14:paraId="72BB4AD5" w14:textId="77777777" w:rsidR="007012D0" w:rsidRDefault="007012D0" w:rsidP="007012D0">
      <w:pPr>
        <w:ind w:left="360"/>
        <w:rPr>
          <w:rFonts w:ascii="Times New Roman" w:hAnsi="Times New Roman"/>
          <w:b/>
        </w:rPr>
      </w:pPr>
    </w:p>
    <w:p w14:paraId="1632CBA3" w14:textId="77777777" w:rsidR="007012D0" w:rsidRPr="0053610D" w:rsidRDefault="007012D0" w:rsidP="007012D0">
      <w:pPr>
        <w:ind w:left="360"/>
        <w:rPr>
          <w:rFonts w:ascii="Times New Roman" w:hAnsi="Times New Roman"/>
          <w:b/>
        </w:rPr>
      </w:pPr>
      <w:r w:rsidRPr="0053610D">
        <w:rPr>
          <w:rFonts w:ascii="Times New Roman" w:hAnsi="Times New Roman"/>
          <w:b/>
        </w:rPr>
        <w:t xml:space="preserve">Task 6:  The Groundwater System </w:t>
      </w:r>
    </w:p>
    <w:p w14:paraId="35BAE23D" w14:textId="77777777" w:rsidR="007012D0" w:rsidRPr="0053610D" w:rsidRDefault="007012D0" w:rsidP="007012D0">
      <w:pPr>
        <w:ind w:left="360"/>
        <w:rPr>
          <w:rFonts w:ascii="Times New Roman" w:hAnsi="Times New Roman"/>
        </w:rPr>
      </w:pPr>
      <w:r w:rsidRPr="0053610D">
        <w:rPr>
          <w:rFonts w:ascii="Times New Roman" w:hAnsi="Times New Roman"/>
        </w:rPr>
        <w:t>The groundwater system is one of Arizona’s most important water reserves. Increasingly, in many areas of the state, we are even managing water storage using the groundwater system. Arizona students need to understand this system as a crucial part of the water cycle to ensure that, as decision makers, we manage this resource for future prosperity. APW will conduct groundw</w:t>
      </w:r>
      <w:r>
        <w:rPr>
          <w:rFonts w:ascii="Times New Roman" w:hAnsi="Times New Roman"/>
        </w:rPr>
        <w:t xml:space="preserve">ater presentations in at least </w:t>
      </w:r>
      <w:r w:rsidRPr="004D0A5A">
        <w:rPr>
          <w:rFonts w:ascii="Times New Roman" w:hAnsi="Times New Roman"/>
        </w:rPr>
        <w:t>five</w:t>
      </w:r>
      <w:r w:rsidRPr="0053610D">
        <w:rPr>
          <w:rFonts w:ascii="Times New Roman" w:hAnsi="Times New Roman"/>
        </w:rPr>
        <w:t xml:space="preserve"> teachers’ classrooms. </w:t>
      </w:r>
    </w:p>
    <w:p w14:paraId="5D861693" w14:textId="77777777" w:rsidR="007012D0" w:rsidRPr="0053610D" w:rsidRDefault="007012D0" w:rsidP="007012D0">
      <w:pPr>
        <w:ind w:left="360"/>
        <w:rPr>
          <w:rFonts w:ascii="Times New Roman" w:hAnsi="Times New Roman"/>
        </w:rPr>
      </w:pPr>
    </w:p>
    <w:p w14:paraId="7C1CEC20" w14:textId="77777777" w:rsidR="007012D0" w:rsidRPr="004D0A5A" w:rsidRDefault="007012D0" w:rsidP="007012D0">
      <w:pPr>
        <w:ind w:left="360"/>
        <w:rPr>
          <w:rFonts w:ascii="Times New Roman" w:hAnsi="Times New Roman"/>
          <w:b/>
        </w:rPr>
      </w:pPr>
      <w:r w:rsidRPr="004D0A5A">
        <w:rPr>
          <w:rFonts w:ascii="Times New Roman" w:hAnsi="Times New Roman"/>
          <w:b/>
        </w:rPr>
        <w:t>Task 7:</w:t>
      </w:r>
      <w:r>
        <w:rPr>
          <w:rFonts w:ascii="Times New Roman" w:hAnsi="Times New Roman"/>
        </w:rPr>
        <w:t xml:space="preserve">  </w:t>
      </w:r>
      <w:r w:rsidRPr="004D0A5A">
        <w:rPr>
          <w:rFonts w:ascii="Times New Roman" w:hAnsi="Times New Roman"/>
          <w:b/>
        </w:rPr>
        <w:t>Riparian Area Investigations</w:t>
      </w:r>
    </w:p>
    <w:p w14:paraId="7C9B88F3" w14:textId="77777777" w:rsidR="007012D0" w:rsidRPr="0053610D" w:rsidRDefault="007012D0" w:rsidP="007012D0">
      <w:pPr>
        <w:ind w:left="360"/>
        <w:rPr>
          <w:rFonts w:ascii="Times New Roman" w:hAnsi="Times New Roman"/>
        </w:rPr>
      </w:pPr>
      <w:r w:rsidRPr="0053610D">
        <w:rPr>
          <w:rFonts w:ascii="Times New Roman" w:hAnsi="Times New Roman"/>
        </w:rPr>
        <w:t>In addition, students need to understand the value of water to all life. APW will support field investigations at Rio Salado Habitat Restoration Area, in partnership with Phoenix Parks and Recreation, if teachers can get their students there</w:t>
      </w:r>
      <w:r>
        <w:rPr>
          <w:rFonts w:ascii="Times New Roman" w:hAnsi="Times New Roman"/>
        </w:rPr>
        <w:t>. APW will support at least five</w:t>
      </w:r>
      <w:r w:rsidRPr="0053610D">
        <w:rPr>
          <w:rFonts w:ascii="Times New Roman" w:hAnsi="Times New Roman"/>
        </w:rPr>
        <w:t xml:space="preserve"> field days at Rio Salado. APW facili</w:t>
      </w:r>
      <w:r>
        <w:rPr>
          <w:rFonts w:ascii="Times New Roman" w:hAnsi="Times New Roman"/>
        </w:rPr>
        <w:t>tators will work with at least five</w:t>
      </w:r>
      <w:r w:rsidRPr="0053610D">
        <w:rPr>
          <w:rFonts w:ascii="Times New Roman" w:hAnsi="Times New Roman"/>
        </w:rPr>
        <w:t xml:space="preserve"> teachers to supplement instruction with real-world and relevant learning outside of the classroom.</w:t>
      </w:r>
    </w:p>
    <w:p w14:paraId="75E1BFE5" w14:textId="77777777" w:rsidR="007012D0" w:rsidRPr="0053610D" w:rsidRDefault="007012D0" w:rsidP="007012D0">
      <w:pPr>
        <w:ind w:left="360"/>
        <w:rPr>
          <w:rFonts w:ascii="Times New Roman" w:hAnsi="Times New Roman"/>
        </w:rPr>
      </w:pPr>
    </w:p>
    <w:p w14:paraId="708BAA80" w14:textId="77777777" w:rsidR="007012D0" w:rsidRPr="0053610D" w:rsidRDefault="007012D0" w:rsidP="007012D0">
      <w:pPr>
        <w:ind w:left="360"/>
        <w:rPr>
          <w:rFonts w:ascii="Times New Roman" w:hAnsi="Times New Roman"/>
        </w:rPr>
      </w:pPr>
      <w:r w:rsidRPr="0053610D">
        <w:rPr>
          <w:rFonts w:ascii="Times New Roman" w:hAnsi="Times New Roman"/>
          <w:b/>
        </w:rPr>
        <w:t>Deliverable:</w:t>
      </w:r>
      <w:r w:rsidRPr="0053610D">
        <w:rPr>
          <w:rFonts w:ascii="Times New Roman" w:hAnsi="Times New Roman"/>
        </w:rPr>
        <w:t xml:space="preserve">  The semi-annual report will include number of students, student assessment, and evaluation data from each teacher. </w:t>
      </w:r>
    </w:p>
    <w:p w14:paraId="030625D9" w14:textId="77777777" w:rsidR="007012D0" w:rsidRDefault="007012D0"/>
    <w:sectPr w:rsidR="007012D0" w:rsidSect="00974182">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8F7"/>
    <w:multiLevelType w:val="hybridMultilevel"/>
    <w:tmpl w:val="DA2EB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EB52FA"/>
    <w:multiLevelType w:val="singleLevel"/>
    <w:tmpl w:val="FBD4BB1A"/>
    <w:lvl w:ilvl="0">
      <w:start w:val="6"/>
      <w:numFmt w:val="upperLetter"/>
      <w:lvlText w:val="%1."/>
      <w:lvlJc w:val="left"/>
      <w:pPr>
        <w:tabs>
          <w:tab w:val="num" w:pos="420"/>
        </w:tabs>
        <w:ind w:left="420" w:hanging="420"/>
      </w:pPr>
      <w:rPr>
        <w:rFonts w:hint="default"/>
      </w:rPr>
    </w:lvl>
  </w:abstractNum>
  <w:abstractNum w:abstractNumId="2" w15:restartNumberingAfterBreak="0">
    <w:nsid w:val="2F7F49F2"/>
    <w:multiLevelType w:val="hybridMultilevel"/>
    <w:tmpl w:val="FE2EB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771594">
    <w:abstractNumId w:val="2"/>
  </w:num>
  <w:num w:numId="2" w16cid:durableId="77559522">
    <w:abstractNumId w:val="1"/>
  </w:num>
  <w:num w:numId="3" w16cid:durableId="74633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82"/>
    <w:rsid w:val="000B1134"/>
    <w:rsid w:val="001A26F1"/>
    <w:rsid w:val="001C4597"/>
    <w:rsid w:val="001E2146"/>
    <w:rsid w:val="001F321C"/>
    <w:rsid w:val="00293B95"/>
    <w:rsid w:val="002E7E1A"/>
    <w:rsid w:val="003036EC"/>
    <w:rsid w:val="0038231A"/>
    <w:rsid w:val="004717E8"/>
    <w:rsid w:val="00654A10"/>
    <w:rsid w:val="007012D0"/>
    <w:rsid w:val="007B5BE8"/>
    <w:rsid w:val="008F640B"/>
    <w:rsid w:val="009307C8"/>
    <w:rsid w:val="00974182"/>
    <w:rsid w:val="009B2338"/>
    <w:rsid w:val="00A70267"/>
    <w:rsid w:val="00AE5308"/>
    <w:rsid w:val="00B54C99"/>
    <w:rsid w:val="00BE53FD"/>
    <w:rsid w:val="00C159A9"/>
    <w:rsid w:val="00C7002D"/>
    <w:rsid w:val="00C92867"/>
    <w:rsid w:val="00D01163"/>
    <w:rsid w:val="00D31AB8"/>
    <w:rsid w:val="00D37645"/>
    <w:rsid w:val="00D80D22"/>
    <w:rsid w:val="00D810CE"/>
    <w:rsid w:val="00DB1C26"/>
    <w:rsid w:val="00EA4039"/>
    <w:rsid w:val="00EF7F09"/>
    <w:rsid w:val="00F32640"/>
    <w:rsid w:val="00F33629"/>
    <w:rsid w:val="00F652C7"/>
    <w:rsid w:val="00F9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3A544C"/>
  <w15:chartTrackingRefBased/>
  <w15:docId w15:val="{8792E57A-D914-4C9B-A22A-8D1E37D3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31A"/>
    <w:pPr>
      <w:ind w:left="720"/>
      <w:contextualSpacing/>
    </w:pPr>
  </w:style>
  <w:style w:type="character" w:styleId="Hyperlink">
    <w:name w:val="Hyperlink"/>
    <w:rsid w:val="00701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071">
      <w:bodyDiv w:val="1"/>
      <w:marLeft w:val="0"/>
      <w:marRight w:val="0"/>
      <w:marTop w:val="0"/>
      <w:marBottom w:val="0"/>
      <w:divBdr>
        <w:top w:val="none" w:sz="0" w:space="0" w:color="auto"/>
        <w:left w:val="none" w:sz="0" w:space="0" w:color="auto"/>
        <w:bottom w:val="none" w:sz="0" w:space="0" w:color="auto"/>
        <w:right w:val="none" w:sz="0" w:space="0" w:color="auto"/>
      </w:divBdr>
    </w:div>
    <w:div w:id="549269656">
      <w:bodyDiv w:val="1"/>
      <w:marLeft w:val="0"/>
      <w:marRight w:val="0"/>
      <w:marTop w:val="0"/>
      <w:marBottom w:val="0"/>
      <w:divBdr>
        <w:top w:val="none" w:sz="0" w:space="0" w:color="auto"/>
        <w:left w:val="none" w:sz="0" w:space="0" w:color="auto"/>
        <w:bottom w:val="none" w:sz="0" w:space="0" w:color="auto"/>
        <w:right w:val="none" w:sz="0" w:space="0" w:color="auto"/>
      </w:divBdr>
    </w:div>
    <w:div w:id="656766048">
      <w:bodyDiv w:val="1"/>
      <w:marLeft w:val="0"/>
      <w:marRight w:val="0"/>
      <w:marTop w:val="0"/>
      <w:marBottom w:val="0"/>
      <w:divBdr>
        <w:top w:val="none" w:sz="0" w:space="0" w:color="auto"/>
        <w:left w:val="none" w:sz="0" w:space="0" w:color="auto"/>
        <w:bottom w:val="none" w:sz="0" w:space="0" w:color="auto"/>
        <w:right w:val="none" w:sz="0" w:space="0" w:color="auto"/>
      </w:divBdr>
    </w:div>
    <w:div w:id="688482025">
      <w:bodyDiv w:val="1"/>
      <w:marLeft w:val="0"/>
      <w:marRight w:val="0"/>
      <w:marTop w:val="0"/>
      <w:marBottom w:val="0"/>
      <w:divBdr>
        <w:top w:val="none" w:sz="0" w:space="0" w:color="auto"/>
        <w:left w:val="none" w:sz="0" w:space="0" w:color="auto"/>
        <w:bottom w:val="none" w:sz="0" w:space="0" w:color="auto"/>
        <w:right w:val="none" w:sz="0" w:space="0" w:color="auto"/>
      </w:divBdr>
    </w:div>
    <w:div w:id="745881279">
      <w:bodyDiv w:val="1"/>
      <w:marLeft w:val="0"/>
      <w:marRight w:val="0"/>
      <w:marTop w:val="0"/>
      <w:marBottom w:val="0"/>
      <w:divBdr>
        <w:top w:val="none" w:sz="0" w:space="0" w:color="auto"/>
        <w:left w:val="none" w:sz="0" w:space="0" w:color="auto"/>
        <w:bottom w:val="none" w:sz="0" w:space="0" w:color="auto"/>
        <w:right w:val="none" w:sz="0" w:space="0" w:color="auto"/>
      </w:divBdr>
    </w:div>
    <w:div w:id="833912186">
      <w:bodyDiv w:val="1"/>
      <w:marLeft w:val="0"/>
      <w:marRight w:val="0"/>
      <w:marTop w:val="0"/>
      <w:marBottom w:val="0"/>
      <w:divBdr>
        <w:top w:val="none" w:sz="0" w:space="0" w:color="auto"/>
        <w:left w:val="none" w:sz="0" w:space="0" w:color="auto"/>
        <w:bottom w:val="none" w:sz="0" w:space="0" w:color="auto"/>
        <w:right w:val="none" w:sz="0" w:space="0" w:color="auto"/>
      </w:divBdr>
    </w:div>
    <w:div w:id="851601190">
      <w:bodyDiv w:val="1"/>
      <w:marLeft w:val="0"/>
      <w:marRight w:val="0"/>
      <w:marTop w:val="0"/>
      <w:marBottom w:val="0"/>
      <w:divBdr>
        <w:top w:val="none" w:sz="0" w:space="0" w:color="auto"/>
        <w:left w:val="none" w:sz="0" w:space="0" w:color="auto"/>
        <w:bottom w:val="none" w:sz="0" w:space="0" w:color="auto"/>
        <w:right w:val="none" w:sz="0" w:space="0" w:color="auto"/>
      </w:divBdr>
    </w:div>
    <w:div w:id="1139345279">
      <w:bodyDiv w:val="1"/>
      <w:marLeft w:val="0"/>
      <w:marRight w:val="0"/>
      <w:marTop w:val="0"/>
      <w:marBottom w:val="0"/>
      <w:divBdr>
        <w:top w:val="none" w:sz="0" w:space="0" w:color="auto"/>
        <w:left w:val="none" w:sz="0" w:space="0" w:color="auto"/>
        <w:bottom w:val="none" w:sz="0" w:space="0" w:color="auto"/>
        <w:right w:val="none" w:sz="0" w:space="0" w:color="auto"/>
      </w:divBdr>
    </w:div>
    <w:div w:id="1451246638">
      <w:bodyDiv w:val="1"/>
      <w:marLeft w:val="0"/>
      <w:marRight w:val="0"/>
      <w:marTop w:val="0"/>
      <w:marBottom w:val="0"/>
      <w:divBdr>
        <w:top w:val="none" w:sz="0" w:space="0" w:color="auto"/>
        <w:left w:val="none" w:sz="0" w:space="0" w:color="auto"/>
        <w:bottom w:val="none" w:sz="0" w:space="0" w:color="auto"/>
        <w:right w:val="none" w:sz="0" w:space="0" w:color="auto"/>
      </w:divBdr>
    </w:div>
    <w:div w:id="16231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i.projectwet.arizona.edu/"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si.projectwet.arizona.edu/repor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share-new\Shared\AMAs\Grants-WMAP\Miscellaneous%20Documents\2022_PhxWMAPProjec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hare-new\Shared\AMAs\Grants-WMAP\Miscellaneous%20Documents\2022_PhxWMAPProject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hare-new\Shared\AMAs\Grants-WMAP\Miscellaneous%20Documents\2022_PhxWMAPProjection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Phoenix</a:t>
            </a:r>
            <a:r>
              <a:rPr lang="en-US" baseline="0"/>
              <a:t> </a:t>
            </a:r>
            <a:r>
              <a:rPr lang="en-US"/>
              <a:t>WMAP Balance</a:t>
            </a:r>
            <a:r>
              <a:rPr lang="en-US" baseline="0"/>
              <a:t> Projection 0.25/AF</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2"/>
          <c:order val="2"/>
          <c:tx>
            <c:strRef>
              <c:f>Phoenix!$C$1</c:f>
              <c:strCache>
                <c:ptCount val="1"/>
                <c:pt idx="0">
                  <c:v>WMAP Fee/Yr</c:v>
                </c:pt>
              </c:strCache>
            </c:strRef>
          </c:tx>
          <c:spPr>
            <a:solidFill>
              <a:schemeClr val="accent3"/>
            </a:solidFill>
            <a:ln>
              <a:noFill/>
            </a:ln>
            <a:effectLst/>
          </c:spPr>
          <c:invertIfNegative val="0"/>
          <c:cat>
            <c:numRef>
              <c:f>Phoenix!$A$2:$A$10</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Phoenix!$C$2:$C$10</c:f>
              <c:numCache>
                <c:formatCode>"$"#,##0_);[Red]\("$"#,##0\)</c:formatCode>
                <c:ptCount val="9"/>
                <c:pt idx="0">
                  <c:v>190000</c:v>
                </c:pt>
                <c:pt idx="1">
                  <c:v>190000</c:v>
                </c:pt>
                <c:pt idx="2">
                  <c:v>190000</c:v>
                </c:pt>
                <c:pt idx="3">
                  <c:v>190000</c:v>
                </c:pt>
                <c:pt idx="4">
                  <c:v>190000</c:v>
                </c:pt>
                <c:pt idx="5">
                  <c:v>190000</c:v>
                </c:pt>
                <c:pt idx="6">
                  <c:v>190000</c:v>
                </c:pt>
                <c:pt idx="7">
                  <c:v>190000</c:v>
                </c:pt>
                <c:pt idx="8">
                  <c:v>190000</c:v>
                </c:pt>
              </c:numCache>
            </c:numRef>
          </c:val>
          <c:extLst>
            <c:ext xmlns:c16="http://schemas.microsoft.com/office/drawing/2014/chart" uri="{C3380CC4-5D6E-409C-BE32-E72D297353CC}">
              <c16:uniqueId val="{00000000-8942-4043-B464-64EF18B5131C}"/>
            </c:ext>
          </c:extLst>
        </c:ser>
        <c:ser>
          <c:idx val="3"/>
          <c:order val="3"/>
          <c:tx>
            <c:strRef>
              <c:f>Phoenix!$D$1</c:f>
              <c:strCache>
                <c:ptCount val="1"/>
                <c:pt idx="0">
                  <c:v>WMAP Legacy Contracts</c:v>
                </c:pt>
              </c:strCache>
            </c:strRef>
          </c:tx>
          <c:spPr>
            <a:solidFill>
              <a:schemeClr val="accent4"/>
            </a:solidFill>
            <a:ln>
              <a:noFill/>
            </a:ln>
            <a:effectLst/>
          </c:spPr>
          <c:invertIfNegative val="0"/>
          <c:cat>
            <c:numRef>
              <c:f>Phoenix!$A$2:$A$10</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Phoenix!$D$2:$D$10</c:f>
              <c:numCache>
                <c:formatCode>"$"#,##0_);[Red]\("$"#,##0\)</c:formatCode>
                <c:ptCount val="9"/>
                <c:pt idx="0">
                  <c:v>-150000</c:v>
                </c:pt>
                <c:pt idx="1">
                  <c:v>-309930</c:v>
                </c:pt>
                <c:pt idx="2">
                  <c:v>-150000</c:v>
                </c:pt>
                <c:pt idx="3">
                  <c:v>-309930</c:v>
                </c:pt>
                <c:pt idx="4">
                  <c:v>-150000</c:v>
                </c:pt>
                <c:pt idx="5">
                  <c:v>-309930</c:v>
                </c:pt>
                <c:pt idx="6">
                  <c:v>-150000</c:v>
                </c:pt>
                <c:pt idx="7">
                  <c:v>-309930</c:v>
                </c:pt>
                <c:pt idx="8">
                  <c:v>-150000</c:v>
                </c:pt>
              </c:numCache>
            </c:numRef>
          </c:val>
          <c:extLst>
            <c:ext xmlns:c16="http://schemas.microsoft.com/office/drawing/2014/chart" uri="{C3380CC4-5D6E-409C-BE32-E72D297353CC}">
              <c16:uniqueId val="{00000001-8942-4043-B464-64EF18B5131C}"/>
            </c:ext>
          </c:extLst>
        </c:ser>
        <c:dLbls>
          <c:showLegendKey val="0"/>
          <c:showVal val="0"/>
          <c:showCatName val="0"/>
          <c:showSerName val="0"/>
          <c:showPercent val="0"/>
          <c:showBubbleSize val="0"/>
        </c:dLbls>
        <c:gapWidth val="136"/>
        <c:overlap val="100"/>
        <c:axId val="691415816"/>
        <c:axId val="691415488"/>
        <c:extLst>
          <c:ext xmlns:c15="http://schemas.microsoft.com/office/drawing/2012/chart" uri="{02D57815-91ED-43cb-92C2-25804820EDAC}">
            <c15:filteredBarSeries>
              <c15:ser>
                <c:idx val="0"/>
                <c:order val="0"/>
                <c:tx>
                  <c:strRef>
                    <c:extLst>
                      <c:ext uri="{02D57815-91ED-43cb-92C2-25804820EDAC}">
                        <c15:formulaRef>
                          <c15:sqref>Phoenix!$A$1</c15:sqref>
                        </c15:formulaRef>
                      </c:ext>
                    </c:extLst>
                    <c:strCache>
                      <c:ptCount val="1"/>
                      <c:pt idx="0">
                        <c:v>Year</c:v>
                      </c:pt>
                    </c:strCache>
                  </c:strRef>
                </c:tx>
                <c:spPr>
                  <a:solidFill>
                    <a:schemeClr val="accent1"/>
                  </a:solidFill>
                  <a:ln>
                    <a:noFill/>
                  </a:ln>
                  <a:effectLst/>
                </c:spPr>
                <c:invertIfNegative val="0"/>
                <c:cat>
                  <c:numRef>
                    <c:extLst>
                      <c:ext uri="{02D57815-91ED-43cb-92C2-25804820EDAC}">
                        <c15:formulaRef>
                          <c15:sqref>Phoenix!$A$2:$A$10</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extLst>
                      <c:ext uri="{02D57815-91ED-43cb-92C2-25804820EDAC}">
                        <c15:formulaRef>
                          <c15:sqref>Phoenix!$A$2:$A$10</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val>
                <c:extLst>
                  <c:ext xmlns:c16="http://schemas.microsoft.com/office/drawing/2014/chart" uri="{C3380CC4-5D6E-409C-BE32-E72D297353CC}">
                    <c16:uniqueId val="{00000003-8942-4043-B464-64EF18B5131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Phoenix!$B$1</c15:sqref>
                        </c15:formulaRef>
                      </c:ext>
                    </c:extLst>
                    <c:strCache>
                      <c:ptCount val="1"/>
                      <c:pt idx="0">
                        <c:v>WMAP Fee/AF</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Phoenix!$A$2:$A$10</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extLst xmlns:c15="http://schemas.microsoft.com/office/drawing/2012/chart">
                      <c:ext xmlns:c15="http://schemas.microsoft.com/office/drawing/2012/chart" uri="{02D57815-91ED-43cb-92C2-25804820EDAC}">
                        <c15:formulaRef>
                          <c15:sqref>Phoenix!$B$2:$B$10</c15:sqref>
                        </c15:formulaRef>
                      </c:ext>
                    </c:extLst>
                    <c:numCache>
                      <c:formatCode>General</c:formatCode>
                      <c:ptCount val="9"/>
                      <c:pt idx="0">
                        <c:v>0.25</c:v>
                      </c:pt>
                      <c:pt idx="1">
                        <c:v>0.25</c:v>
                      </c:pt>
                      <c:pt idx="2">
                        <c:v>0.25</c:v>
                      </c:pt>
                      <c:pt idx="3">
                        <c:v>0.25</c:v>
                      </c:pt>
                      <c:pt idx="4">
                        <c:v>0.25</c:v>
                      </c:pt>
                      <c:pt idx="5">
                        <c:v>0.25</c:v>
                      </c:pt>
                      <c:pt idx="6">
                        <c:v>0.25</c:v>
                      </c:pt>
                      <c:pt idx="7">
                        <c:v>0.25</c:v>
                      </c:pt>
                      <c:pt idx="8">
                        <c:v>0.25</c:v>
                      </c:pt>
                    </c:numCache>
                  </c:numRef>
                </c:val>
                <c:extLst xmlns:c15="http://schemas.microsoft.com/office/drawing/2012/chart">
                  <c:ext xmlns:c16="http://schemas.microsoft.com/office/drawing/2014/chart" uri="{C3380CC4-5D6E-409C-BE32-E72D297353CC}">
                    <c16:uniqueId val="{00000004-8942-4043-B464-64EF18B5131C}"/>
                  </c:ext>
                </c:extLst>
              </c15:ser>
            </c15:filteredBarSeries>
          </c:ext>
        </c:extLst>
      </c:barChart>
      <c:lineChart>
        <c:grouping val="standard"/>
        <c:varyColors val="0"/>
        <c:ser>
          <c:idx val="4"/>
          <c:order val="4"/>
          <c:tx>
            <c:strRef>
              <c:f>Phoenix!$E$1</c:f>
              <c:strCache>
                <c:ptCount val="1"/>
                <c:pt idx="0">
                  <c:v>WMAP Balance</c:v>
                </c:pt>
              </c:strCache>
            </c:strRef>
          </c:tx>
          <c:spPr>
            <a:ln w="28575" cap="rnd">
              <a:solidFill>
                <a:schemeClr val="accent5"/>
              </a:solidFill>
              <a:round/>
            </a:ln>
            <a:effectLst/>
          </c:spPr>
          <c:marker>
            <c:symbol val="none"/>
          </c:marker>
          <c:val>
            <c:numRef>
              <c:f>Phoenix!$E$2:$E$10</c:f>
              <c:numCache>
                <c:formatCode>"$"#,##0_);[Red]\("$"#,##0\)</c:formatCode>
                <c:ptCount val="9"/>
                <c:pt idx="0">
                  <c:v>174813</c:v>
                </c:pt>
                <c:pt idx="1">
                  <c:v>54883</c:v>
                </c:pt>
                <c:pt idx="2">
                  <c:v>94883</c:v>
                </c:pt>
                <c:pt idx="3">
                  <c:v>-25047</c:v>
                </c:pt>
                <c:pt idx="4">
                  <c:v>14953</c:v>
                </c:pt>
                <c:pt idx="5">
                  <c:v>-104977</c:v>
                </c:pt>
                <c:pt idx="6">
                  <c:v>-64977</c:v>
                </c:pt>
                <c:pt idx="7">
                  <c:v>-184907</c:v>
                </c:pt>
                <c:pt idx="8">
                  <c:v>-144907</c:v>
                </c:pt>
              </c:numCache>
            </c:numRef>
          </c:val>
          <c:smooth val="0"/>
          <c:extLst>
            <c:ext xmlns:c16="http://schemas.microsoft.com/office/drawing/2014/chart" uri="{C3380CC4-5D6E-409C-BE32-E72D297353CC}">
              <c16:uniqueId val="{00000002-8942-4043-B464-64EF18B5131C}"/>
            </c:ext>
          </c:extLst>
        </c:ser>
        <c:dLbls>
          <c:showLegendKey val="0"/>
          <c:showVal val="0"/>
          <c:showCatName val="0"/>
          <c:showSerName val="0"/>
          <c:showPercent val="0"/>
          <c:showBubbleSize val="0"/>
        </c:dLbls>
        <c:marker val="1"/>
        <c:smooth val="0"/>
        <c:axId val="691415816"/>
        <c:axId val="691415488"/>
      </c:lineChart>
      <c:catAx>
        <c:axId val="691415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415488"/>
        <c:crosses val="autoZero"/>
        <c:auto val="1"/>
        <c:lblAlgn val="ctr"/>
        <c:lblOffset val="100"/>
        <c:noMultiLvlLbl val="0"/>
      </c:catAx>
      <c:valAx>
        <c:axId val="69141548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415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Phoenix WMAP Balance</a:t>
            </a:r>
            <a:r>
              <a:rPr lang="en-US" baseline="0"/>
              <a:t> Projection 0.35/AF</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Phoenix!$C$12</c:f>
              <c:strCache>
                <c:ptCount val="1"/>
                <c:pt idx="0">
                  <c:v>WMAP Fee/Yr</c:v>
                </c:pt>
              </c:strCache>
            </c:strRef>
          </c:tx>
          <c:spPr>
            <a:solidFill>
              <a:schemeClr val="accent3"/>
            </a:solidFill>
            <a:ln>
              <a:noFill/>
            </a:ln>
            <a:effectLst/>
          </c:spPr>
          <c:invertIfNegative val="0"/>
          <c:cat>
            <c:numRef>
              <c:f>Phoenix!$A$13:$A$21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Phoenix!$C$13:$C$21</c:f>
              <c:numCache>
                <c:formatCode>"$"#,##0_);[Red]\("$"#,##0\)</c:formatCode>
                <c:ptCount val="9"/>
                <c:pt idx="0">
                  <c:v>190000</c:v>
                </c:pt>
                <c:pt idx="1">
                  <c:v>190000</c:v>
                </c:pt>
                <c:pt idx="2">
                  <c:v>266000</c:v>
                </c:pt>
                <c:pt idx="3">
                  <c:v>266000</c:v>
                </c:pt>
                <c:pt idx="4">
                  <c:v>266000</c:v>
                </c:pt>
                <c:pt idx="5">
                  <c:v>266000</c:v>
                </c:pt>
                <c:pt idx="6">
                  <c:v>266000</c:v>
                </c:pt>
                <c:pt idx="7">
                  <c:v>266000</c:v>
                </c:pt>
                <c:pt idx="8">
                  <c:v>266000</c:v>
                </c:pt>
              </c:numCache>
            </c:numRef>
          </c:val>
          <c:extLst>
            <c:ext xmlns:c16="http://schemas.microsoft.com/office/drawing/2014/chart" uri="{C3380CC4-5D6E-409C-BE32-E72D297353CC}">
              <c16:uniqueId val="{00000000-7734-433B-9506-35D7872583BA}"/>
            </c:ext>
          </c:extLst>
        </c:ser>
        <c:ser>
          <c:idx val="2"/>
          <c:order val="2"/>
          <c:tx>
            <c:strRef>
              <c:f>Phoenix!$D$12</c:f>
              <c:strCache>
                <c:ptCount val="1"/>
                <c:pt idx="0">
                  <c:v>WMAP Legacy Contracts</c:v>
                </c:pt>
              </c:strCache>
            </c:strRef>
          </c:tx>
          <c:spPr>
            <a:solidFill>
              <a:schemeClr val="accent4"/>
            </a:solidFill>
            <a:ln>
              <a:noFill/>
            </a:ln>
            <a:effectLst/>
          </c:spPr>
          <c:invertIfNegative val="0"/>
          <c:cat>
            <c:numRef>
              <c:f>Phoenix!$A$13:$A$21</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Phoenix!$D$13:$D$21</c:f>
              <c:numCache>
                <c:formatCode>"$"#,##0_);[Red]\("$"#,##0\)</c:formatCode>
                <c:ptCount val="9"/>
                <c:pt idx="0">
                  <c:v>-150000</c:v>
                </c:pt>
                <c:pt idx="1">
                  <c:v>-309930</c:v>
                </c:pt>
                <c:pt idx="2">
                  <c:v>-150000</c:v>
                </c:pt>
                <c:pt idx="3">
                  <c:v>-309930</c:v>
                </c:pt>
                <c:pt idx="4">
                  <c:v>-150000</c:v>
                </c:pt>
                <c:pt idx="5">
                  <c:v>-309930</c:v>
                </c:pt>
                <c:pt idx="6">
                  <c:v>-150000</c:v>
                </c:pt>
                <c:pt idx="7">
                  <c:v>-309930</c:v>
                </c:pt>
                <c:pt idx="8">
                  <c:v>-150000</c:v>
                </c:pt>
              </c:numCache>
            </c:numRef>
          </c:val>
          <c:extLst>
            <c:ext xmlns:c16="http://schemas.microsoft.com/office/drawing/2014/chart" uri="{C3380CC4-5D6E-409C-BE32-E72D297353CC}">
              <c16:uniqueId val="{00000001-7734-433B-9506-35D7872583BA}"/>
            </c:ext>
          </c:extLst>
        </c:ser>
        <c:dLbls>
          <c:showLegendKey val="0"/>
          <c:showVal val="0"/>
          <c:showCatName val="0"/>
          <c:showSerName val="0"/>
          <c:showPercent val="0"/>
          <c:showBubbleSize val="0"/>
        </c:dLbls>
        <c:gapWidth val="136"/>
        <c:overlap val="100"/>
        <c:axId val="691415816"/>
        <c:axId val="691415488"/>
        <c:extLst>
          <c:ext xmlns:c15="http://schemas.microsoft.com/office/drawing/2012/chart" uri="{02D57815-91ED-43cb-92C2-25804820EDAC}">
            <c15:filteredBarSeries>
              <c15:ser>
                <c:idx val="0"/>
                <c:order val="0"/>
                <c:tx>
                  <c:strRef>
                    <c:extLst>
                      <c:ext uri="{02D57815-91ED-43cb-92C2-25804820EDAC}">
                        <c15:formulaRef>
                          <c15:sqref>Phoenix!$A$1</c15:sqref>
                        </c15:formulaRef>
                      </c:ext>
                    </c:extLst>
                    <c:strCache>
                      <c:ptCount val="1"/>
                      <c:pt idx="0">
                        <c:v>Year</c:v>
                      </c:pt>
                    </c:strCache>
                  </c:strRef>
                </c:tx>
                <c:spPr>
                  <a:solidFill>
                    <a:schemeClr val="accent1"/>
                  </a:solidFill>
                  <a:ln>
                    <a:noFill/>
                  </a:ln>
                  <a:effectLst/>
                </c:spPr>
                <c:invertIfNegative val="0"/>
                <c:cat>
                  <c:numRef>
                    <c:extLst>
                      <c:ext uri="{02D57815-91ED-43cb-92C2-25804820EDAC}">
                        <c15:formulaRef>
                          <c15:sqref>Phoenix!$A$13:$A$21</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extLst>
                      <c:ext uri="{02D57815-91ED-43cb-92C2-25804820EDAC}">
                        <c15:formulaRef>
                          <c15:sqref>Phoenix!$A$2:$A$10</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val>
                <c:extLst>
                  <c:ext xmlns:c16="http://schemas.microsoft.com/office/drawing/2014/chart" uri="{C3380CC4-5D6E-409C-BE32-E72D297353CC}">
                    <c16:uniqueId val="{00000003-7734-433B-9506-35D7872583BA}"/>
                  </c:ext>
                </c:extLst>
              </c15:ser>
            </c15:filteredBarSeries>
          </c:ext>
        </c:extLst>
      </c:barChart>
      <c:lineChart>
        <c:grouping val="standard"/>
        <c:varyColors val="0"/>
        <c:ser>
          <c:idx val="3"/>
          <c:order val="3"/>
          <c:tx>
            <c:strRef>
              <c:f>Phoenix!$E$12</c:f>
              <c:strCache>
                <c:ptCount val="1"/>
                <c:pt idx="0">
                  <c:v>WMAP Balance</c:v>
                </c:pt>
              </c:strCache>
            </c:strRef>
          </c:tx>
          <c:spPr>
            <a:ln w="28575" cap="rnd">
              <a:solidFill>
                <a:schemeClr val="accent5"/>
              </a:solidFill>
              <a:round/>
            </a:ln>
            <a:effectLst/>
          </c:spPr>
          <c:marker>
            <c:symbol val="none"/>
          </c:marker>
          <c:val>
            <c:numRef>
              <c:f>Phoenix!$E$13:$E$21</c:f>
              <c:numCache>
                <c:formatCode>"$"#,##0_);[Red]\("$"#,##0\)</c:formatCode>
                <c:ptCount val="9"/>
                <c:pt idx="0">
                  <c:v>174813</c:v>
                </c:pt>
                <c:pt idx="1">
                  <c:v>54883</c:v>
                </c:pt>
                <c:pt idx="2">
                  <c:v>170883</c:v>
                </c:pt>
                <c:pt idx="3">
                  <c:v>126953</c:v>
                </c:pt>
                <c:pt idx="4">
                  <c:v>242953</c:v>
                </c:pt>
                <c:pt idx="5">
                  <c:v>199023</c:v>
                </c:pt>
                <c:pt idx="6">
                  <c:v>315023</c:v>
                </c:pt>
                <c:pt idx="7">
                  <c:v>271093</c:v>
                </c:pt>
                <c:pt idx="8">
                  <c:v>387093</c:v>
                </c:pt>
              </c:numCache>
            </c:numRef>
          </c:val>
          <c:smooth val="0"/>
          <c:extLst>
            <c:ext xmlns:c16="http://schemas.microsoft.com/office/drawing/2014/chart" uri="{C3380CC4-5D6E-409C-BE32-E72D297353CC}">
              <c16:uniqueId val="{00000002-7734-433B-9506-35D7872583BA}"/>
            </c:ext>
          </c:extLst>
        </c:ser>
        <c:dLbls>
          <c:showLegendKey val="0"/>
          <c:showVal val="0"/>
          <c:showCatName val="0"/>
          <c:showSerName val="0"/>
          <c:showPercent val="0"/>
          <c:showBubbleSize val="0"/>
        </c:dLbls>
        <c:marker val="1"/>
        <c:smooth val="0"/>
        <c:axId val="691415816"/>
        <c:axId val="691415488"/>
      </c:lineChart>
      <c:catAx>
        <c:axId val="691415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415488"/>
        <c:crosses val="autoZero"/>
        <c:auto val="1"/>
        <c:lblAlgn val="ctr"/>
        <c:lblOffset val="100"/>
        <c:noMultiLvlLbl val="0"/>
      </c:catAx>
      <c:valAx>
        <c:axId val="69141548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415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Phoenix WMAP Balance</a:t>
            </a:r>
            <a:r>
              <a:rPr lang="en-US" baseline="0"/>
              <a:t> Projection 0.50/AF</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2"/>
          <c:order val="1"/>
          <c:tx>
            <c:strRef>
              <c:f>Phoenix!$C$23</c:f>
              <c:strCache>
                <c:ptCount val="1"/>
                <c:pt idx="0">
                  <c:v>WMAP Fee/Yr</c:v>
                </c:pt>
              </c:strCache>
            </c:strRef>
          </c:tx>
          <c:spPr>
            <a:solidFill>
              <a:schemeClr val="accent3"/>
            </a:solidFill>
            <a:ln>
              <a:noFill/>
            </a:ln>
            <a:effectLst/>
          </c:spPr>
          <c:invertIfNegative val="0"/>
          <c:cat>
            <c:numRef>
              <c:f>Phoenix!$A$24:$A$32</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Phoenix!$C$24:$C$32</c:f>
              <c:numCache>
                <c:formatCode>"$"#,##0_);[Red]\("$"#,##0\)</c:formatCode>
                <c:ptCount val="9"/>
                <c:pt idx="0">
                  <c:v>190000</c:v>
                </c:pt>
                <c:pt idx="1">
                  <c:v>190000</c:v>
                </c:pt>
                <c:pt idx="2">
                  <c:v>380000</c:v>
                </c:pt>
                <c:pt idx="3">
                  <c:v>380000</c:v>
                </c:pt>
                <c:pt idx="4">
                  <c:v>380000</c:v>
                </c:pt>
                <c:pt idx="5">
                  <c:v>380000</c:v>
                </c:pt>
                <c:pt idx="6">
                  <c:v>380000</c:v>
                </c:pt>
                <c:pt idx="7">
                  <c:v>380000</c:v>
                </c:pt>
                <c:pt idx="8">
                  <c:v>380000</c:v>
                </c:pt>
              </c:numCache>
            </c:numRef>
          </c:val>
          <c:extLst>
            <c:ext xmlns:c16="http://schemas.microsoft.com/office/drawing/2014/chart" uri="{C3380CC4-5D6E-409C-BE32-E72D297353CC}">
              <c16:uniqueId val="{00000000-8F04-48EA-8CB2-24AE062B6694}"/>
            </c:ext>
          </c:extLst>
        </c:ser>
        <c:ser>
          <c:idx val="5"/>
          <c:order val="2"/>
          <c:tx>
            <c:v>WMAP Legacy Contracts</c:v>
          </c:tx>
          <c:spPr>
            <a:solidFill>
              <a:schemeClr val="accent4"/>
            </a:solidFill>
            <a:ln>
              <a:noFill/>
            </a:ln>
            <a:effectLst/>
          </c:spPr>
          <c:invertIfNegative val="0"/>
          <c:cat>
            <c:numRef>
              <c:f>Phoenix!$A$24:$A$32</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Phoenix!$D$24:$D$32</c:f>
              <c:numCache>
                <c:formatCode>"$"#,##0_);[Red]\("$"#,##0\)</c:formatCode>
                <c:ptCount val="9"/>
                <c:pt idx="0">
                  <c:v>-150000</c:v>
                </c:pt>
                <c:pt idx="1">
                  <c:v>-309930</c:v>
                </c:pt>
                <c:pt idx="2">
                  <c:v>-150000</c:v>
                </c:pt>
                <c:pt idx="3">
                  <c:v>-309930</c:v>
                </c:pt>
                <c:pt idx="4">
                  <c:v>-150000</c:v>
                </c:pt>
                <c:pt idx="5">
                  <c:v>-309930</c:v>
                </c:pt>
                <c:pt idx="6">
                  <c:v>-150000</c:v>
                </c:pt>
                <c:pt idx="7">
                  <c:v>-309930</c:v>
                </c:pt>
                <c:pt idx="8">
                  <c:v>-150000</c:v>
                </c:pt>
              </c:numCache>
            </c:numRef>
          </c:val>
          <c:extLst>
            <c:ext xmlns:c16="http://schemas.microsoft.com/office/drawing/2014/chart" uri="{C3380CC4-5D6E-409C-BE32-E72D297353CC}">
              <c16:uniqueId val="{00000001-8F04-48EA-8CB2-24AE062B6694}"/>
            </c:ext>
          </c:extLst>
        </c:ser>
        <c:dLbls>
          <c:showLegendKey val="0"/>
          <c:showVal val="0"/>
          <c:showCatName val="0"/>
          <c:showSerName val="0"/>
          <c:showPercent val="0"/>
          <c:showBubbleSize val="0"/>
        </c:dLbls>
        <c:gapWidth val="150"/>
        <c:overlap val="100"/>
        <c:axId val="691415816"/>
        <c:axId val="691415488"/>
        <c:extLst>
          <c:ext xmlns:c15="http://schemas.microsoft.com/office/drawing/2012/chart" uri="{02D57815-91ED-43cb-92C2-25804820EDAC}">
            <c15:filteredBarSeries>
              <c15:ser>
                <c:idx val="0"/>
                <c:order val="0"/>
                <c:tx>
                  <c:strRef>
                    <c:extLst>
                      <c:ext uri="{02D57815-91ED-43cb-92C2-25804820EDAC}">
                        <c15:formulaRef>
                          <c15:sqref>Phoenix!$A$1</c15:sqref>
                        </c15:formulaRef>
                      </c:ext>
                    </c:extLst>
                    <c:strCache>
                      <c:ptCount val="1"/>
                      <c:pt idx="0">
                        <c:v>Year</c:v>
                      </c:pt>
                    </c:strCache>
                  </c:strRef>
                </c:tx>
                <c:spPr>
                  <a:solidFill>
                    <a:schemeClr val="accent1"/>
                  </a:solidFill>
                  <a:ln>
                    <a:noFill/>
                  </a:ln>
                  <a:effectLst/>
                </c:spPr>
                <c:invertIfNegative val="0"/>
                <c:cat>
                  <c:numRef>
                    <c:extLst>
                      <c:ext uri="{02D57815-91ED-43cb-92C2-25804820EDAC}">
                        <c15:formulaRef>
                          <c15:sqref>Phoenix!$A$24:$A$32</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extLst>
                      <c:ext uri="{02D57815-91ED-43cb-92C2-25804820EDAC}">
                        <c15:formulaRef>
                          <c15:sqref>Phoenix!$A$2:$A$10</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val>
                <c:extLst>
                  <c:ext xmlns:c16="http://schemas.microsoft.com/office/drawing/2014/chart" uri="{C3380CC4-5D6E-409C-BE32-E72D297353CC}">
                    <c16:uniqueId val="{00000003-8F04-48EA-8CB2-24AE062B6694}"/>
                  </c:ext>
                </c:extLst>
              </c15:ser>
            </c15:filteredBarSeries>
          </c:ext>
        </c:extLst>
      </c:barChart>
      <c:lineChart>
        <c:grouping val="standard"/>
        <c:varyColors val="0"/>
        <c:ser>
          <c:idx val="1"/>
          <c:order val="3"/>
          <c:tx>
            <c:strRef>
              <c:f>Phoenix!$E$23</c:f>
              <c:strCache>
                <c:ptCount val="1"/>
                <c:pt idx="0">
                  <c:v>WMAP Balance</c:v>
                </c:pt>
              </c:strCache>
            </c:strRef>
          </c:tx>
          <c:spPr>
            <a:ln w="28575" cap="rnd">
              <a:solidFill>
                <a:schemeClr val="accent5"/>
              </a:solidFill>
              <a:round/>
            </a:ln>
            <a:effectLst/>
          </c:spPr>
          <c:marker>
            <c:symbol val="none"/>
          </c:marker>
          <c:val>
            <c:numRef>
              <c:f>Phoenix!$E$24:$E$32</c:f>
              <c:numCache>
                <c:formatCode>"$"#,##0_);[Red]\("$"#,##0\)</c:formatCode>
                <c:ptCount val="9"/>
                <c:pt idx="0">
                  <c:v>174813</c:v>
                </c:pt>
                <c:pt idx="1">
                  <c:v>54883</c:v>
                </c:pt>
                <c:pt idx="2">
                  <c:v>284883</c:v>
                </c:pt>
                <c:pt idx="3">
                  <c:v>354953</c:v>
                </c:pt>
                <c:pt idx="4">
                  <c:v>584953</c:v>
                </c:pt>
                <c:pt idx="5">
                  <c:v>655023</c:v>
                </c:pt>
                <c:pt idx="6">
                  <c:v>885023</c:v>
                </c:pt>
                <c:pt idx="7">
                  <c:v>955093</c:v>
                </c:pt>
                <c:pt idx="8">
                  <c:v>1185093</c:v>
                </c:pt>
              </c:numCache>
            </c:numRef>
          </c:val>
          <c:smooth val="0"/>
          <c:extLst>
            <c:ext xmlns:c16="http://schemas.microsoft.com/office/drawing/2014/chart" uri="{C3380CC4-5D6E-409C-BE32-E72D297353CC}">
              <c16:uniqueId val="{00000002-8F04-48EA-8CB2-24AE062B6694}"/>
            </c:ext>
          </c:extLst>
        </c:ser>
        <c:dLbls>
          <c:showLegendKey val="0"/>
          <c:showVal val="0"/>
          <c:showCatName val="0"/>
          <c:showSerName val="0"/>
          <c:showPercent val="0"/>
          <c:showBubbleSize val="0"/>
        </c:dLbls>
        <c:marker val="1"/>
        <c:smooth val="0"/>
        <c:axId val="691415816"/>
        <c:axId val="691415488"/>
      </c:lineChart>
      <c:catAx>
        <c:axId val="691415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415488"/>
        <c:crosses val="autoZero"/>
        <c:auto val="1"/>
        <c:lblAlgn val="ctr"/>
        <c:lblOffset val="100"/>
        <c:noMultiLvlLbl val="0"/>
      </c:catAx>
      <c:valAx>
        <c:axId val="69141548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415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9</Pages>
  <Words>2337</Words>
  <Characters>12952</Characters>
  <Application>Microsoft Office Word</Application>
  <DocSecurity>0</DocSecurity>
  <Lines>863</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Sikes</dc:creator>
  <cp:keywords/>
  <dc:description/>
  <cp:lastModifiedBy>Melissa Sikes</cp:lastModifiedBy>
  <cp:revision>17</cp:revision>
  <dcterms:created xsi:type="dcterms:W3CDTF">2022-08-03T22:32:00Z</dcterms:created>
  <dcterms:modified xsi:type="dcterms:W3CDTF">2022-09-12T23:36:00Z</dcterms:modified>
</cp:coreProperties>
</file>